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49" w:rsidRPr="00846435" w:rsidRDefault="00D55349" w:rsidP="00D55349">
      <w:pPr>
        <w:pStyle w:val="a3"/>
        <w:spacing w:line="276" w:lineRule="auto"/>
        <w:rPr>
          <w:b w:val="0"/>
          <w:szCs w:val="28"/>
        </w:rPr>
      </w:pPr>
      <w:r w:rsidRPr="00846435">
        <w:rPr>
          <w:b w:val="0"/>
          <w:szCs w:val="28"/>
        </w:rPr>
        <w:t>РОССИЙСКАЯ ФЕДЕРАЦИЯ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D55349" w:rsidRPr="00846435" w:rsidRDefault="001C2C8F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8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C2C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C2C8F">
        <w:rPr>
          <w:rFonts w:ascii="Times New Roman" w:hAnsi="Times New Roman" w:cs="Times New Roman"/>
          <w:b/>
          <w:sz w:val="28"/>
          <w:szCs w:val="28"/>
        </w:rPr>
        <w:t xml:space="preserve"> «ВЕЛИКОВИСОЧНЫЙ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C2C8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D55349" w:rsidRPr="00846435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 xml:space="preserve">Р Е Ш Е Н И Е  № </w:t>
      </w:r>
      <w:r w:rsidR="000537F8">
        <w:rPr>
          <w:rFonts w:ascii="Times New Roman" w:hAnsi="Times New Roman" w:cs="Times New Roman"/>
          <w:b/>
          <w:sz w:val="28"/>
          <w:szCs w:val="28"/>
        </w:rPr>
        <w:t>25</w:t>
      </w:r>
    </w:p>
    <w:p w:rsidR="00D55349" w:rsidRDefault="00AD3164" w:rsidP="00D55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Великовисочное</w:t>
      </w:r>
      <w:r w:rsidR="00D55349" w:rsidRPr="008464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349" w:rsidRPr="000537F8">
        <w:rPr>
          <w:rFonts w:ascii="Times New Roman" w:hAnsi="Times New Roman" w:cs="Times New Roman"/>
          <w:sz w:val="28"/>
          <w:szCs w:val="28"/>
        </w:rPr>
        <w:t>«</w:t>
      </w:r>
      <w:r w:rsidR="000537F8" w:rsidRPr="000537F8">
        <w:rPr>
          <w:rFonts w:ascii="Times New Roman" w:hAnsi="Times New Roman" w:cs="Times New Roman"/>
          <w:sz w:val="28"/>
          <w:szCs w:val="28"/>
        </w:rPr>
        <w:t>11</w:t>
      </w:r>
      <w:r w:rsidR="00D55349" w:rsidRPr="000537F8">
        <w:rPr>
          <w:rFonts w:ascii="Times New Roman" w:hAnsi="Times New Roman" w:cs="Times New Roman"/>
          <w:sz w:val="28"/>
          <w:szCs w:val="28"/>
        </w:rPr>
        <w:t>»</w:t>
      </w:r>
      <w:r w:rsidR="000537F8">
        <w:rPr>
          <w:rFonts w:ascii="Times New Roman" w:hAnsi="Times New Roman" w:cs="Times New Roman"/>
          <w:sz w:val="28"/>
          <w:szCs w:val="28"/>
        </w:rPr>
        <w:t xml:space="preserve"> </w:t>
      </w:r>
      <w:r w:rsidR="000537F8" w:rsidRPr="000537F8">
        <w:rPr>
          <w:rFonts w:ascii="Times New Roman" w:hAnsi="Times New Roman" w:cs="Times New Roman"/>
          <w:sz w:val="28"/>
          <w:szCs w:val="28"/>
        </w:rPr>
        <w:t>августа</w:t>
      </w:r>
      <w:r w:rsidR="00D55349" w:rsidRPr="000537F8">
        <w:rPr>
          <w:rFonts w:ascii="Times New Roman" w:hAnsi="Times New Roman" w:cs="Times New Roman"/>
          <w:sz w:val="28"/>
          <w:szCs w:val="28"/>
        </w:rPr>
        <w:t xml:space="preserve"> 20</w:t>
      </w:r>
      <w:r w:rsidRPr="000537F8">
        <w:rPr>
          <w:rFonts w:ascii="Times New Roman" w:hAnsi="Times New Roman" w:cs="Times New Roman"/>
          <w:sz w:val="28"/>
          <w:szCs w:val="28"/>
        </w:rPr>
        <w:t>20</w:t>
      </w:r>
      <w:r w:rsidR="00D55349" w:rsidRPr="00053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5349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349" w:rsidRPr="00D55349" w:rsidRDefault="00D55349" w:rsidP="00D5534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349">
        <w:rPr>
          <w:rFonts w:ascii="Times New Roman" w:hAnsi="Times New Roman" w:cs="Times New Roman"/>
          <w:b/>
          <w:bCs/>
          <w:sz w:val="28"/>
          <w:szCs w:val="28"/>
        </w:rPr>
        <w:t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</w:t>
      </w:r>
      <w:r w:rsidR="00F62A6C">
        <w:rPr>
          <w:rFonts w:ascii="Times New Roman" w:hAnsi="Times New Roman" w:cs="Times New Roman"/>
          <w:b/>
          <w:bCs/>
          <w:sz w:val="28"/>
          <w:szCs w:val="28"/>
        </w:rPr>
        <w:t>риод проведения избирательной ка</w:t>
      </w:r>
      <w:r w:rsidRPr="00D55349">
        <w:rPr>
          <w:rFonts w:ascii="Times New Roman" w:hAnsi="Times New Roman" w:cs="Times New Roman"/>
          <w:b/>
          <w:bCs/>
          <w:sz w:val="28"/>
          <w:szCs w:val="28"/>
        </w:rPr>
        <w:t>мпании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349">
        <w:rPr>
          <w:rFonts w:ascii="Times New Roman" w:hAnsi="Times New Roman" w:cs="Times New Roman"/>
          <w:b/>
          <w:bCs/>
          <w:sz w:val="28"/>
          <w:szCs w:val="28"/>
        </w:rPr>
        <w:t>выборам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164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Pr="00D5534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D3164">
        <w:rPr>
          <w:rFonts w:ascii="Times New Roman" w:hAnsi="Times New Roman" w:cs="Times New Roman"/>
          <w:b/>
          <w:bCs/>
          <w:sz w:val="28"/>
          <w:szCs w:val="28"/>
        </w:rPr>
        <w:t>Великовисочный</w:t>
      </w:r>
      <w:r w:rsidRPr="00D5534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="00AD31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D5534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C4D6E">
        <w:rPr>
          <w:rFonts w:ascii="Times New Roman" w:hAnsi="Times New Roman" w:cs="Times New Roman"/>
          <w:b/>
          <w:bCs/>
          <w:sz w:val="28"/>
          <w:szCs w:val="28"/>
        </w:rPr>
        <w:t>ене</w:t>
      </w:r>
      <w:r w:rsidR="00875D31">
        <w:rPr>
          <w:rFonts w:ascii="Times New Roman" w:hAnsi="Times New Roman" w:cs="Times New Roman"/>
          <w:b/>
          <w:bCs/>
          <w:sz w:val="28"/>
          <w:szCs w:val="28"/>
        </w:rPr>
        <w:t>цкого</w:t>
      </w:r>
      <w:r w:rsidR="00AD3164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автономного округа </w:t>
      </w:r>
      <w:r w:rsidR="00875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ED" w:rsidRPr="00476F3A" w:rsidRDefault="00AC528B" w:rsidP="00BD0F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221E8" w:rsidRPr="00476F3A">
        <w:rPr>
          <w:rFonts w:ascii="Times New Roman" w:hAnsi="Times New Roman" w:cs="Times New Roman"/>
          <w:sz w:val="28"/>
          <w:szCs w:val="28"/>
        </w:rPr>
        <w:t>»</w:t>
      </w:r>
      <w:r w:rsidR="008A285E" w:rsidRPr="00476F3A">
        <w:rPr>
          <w:rFonts w:ascii="Times New Roman" w:hAnsi="Times New Roman" w:cs="Times New Roman"/>
          <w:sz w:val="28"/>
          <w:szCs w:val="28"/>
        </w:rPr>
        <w:t xml:space="preserve">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</w:t>
      </w:r>
      <w:r w:rsidR="00BD0F7F" w:rsidRPr="00476F3A">
        <w:rPr>
          <w:rFonts w:ascii="Times New Roman" w:hAnsi="Times New Roman" w:cs="Times New Roman"/>
          <w:sz w:val="28"/>
          <w:szCs w:val="28"/>
        </w:rPr>
        <w:t xml:space="preserve">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</w:t>
      </w:r>
      <w:r w:rsidR="002F6F26" w:rsidRPr="00476F3A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«</w:t>
      </w:r>
      <w:r w:rsidR="00AD3164">
        <w:rPr>
          <w:rFonts w:ascii="Times New Roman" w:hAnsi="Times New Roman" w:cs="Times New Roman"/>
          <w:sz w:val="28"/>
          <w:szCs w:val="28"/>
        </w:rPr>
        <w:t>Великовисочный</w:t>
      </w:r>
      <w:r w:rsidR="002F6F26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 w:rsidR="001221E8"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="001221E8" w:rsidRPr="00476F3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33F2" w:rsidRPr="00476F3A" w:rsidRDefault="001221E8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1. Установить время для встреч с избирателями в помещениях, предоставляемых по заявкам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Pr="00476F3A">
        <w:rPr>
          <w:rFonts w:ascii="Times New Roman" w:hAnsi="Times New Roman" w:cs="Times New Roman"/>
          <w:sz w:val="28"/>
          <w:szCs w:val="28"/>
        </w:rPr>
        <w:t xml:space="preserve"> к</w:t>
      </w:r>
      <w:r w:rsidR="00212139" w:rsidRPr="00476F3A">
        <w:rPr>
          <w:rFonts w:ascii="Times New Roman" w:hAnsi="Times New Roman" w:cs="Times New Roman"/>
          <w:sz w:val="28"/>
          <w:szCs w:val="28"/>
        </w:rPr>
        <w:t>андидатов</w:t>
      </w:r>
      <w:r w:rsidRPr="00476F3A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D3164">
        <w:rPr>
          <w:rFonts w:ascii="Times New Roman" w:hAnsi="Times New Roman" w:cs="Times New Roman"/>
          <w:sz w:val="28"/>
          <w:szCs w:val="28"/>
        </w:rPr>
        <w:t>г</w:t>
      </w:r>
      <w:r w:rsidRPr="00476F3A"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AD3164">
        <w:rPr>
          <w:rFonts w:ascii="Times New Roman" w:hAnsi="Times New Roman" w:cs="Times New Roman"/>
          <w:sz w:val="28"/>
          <w:szCs w:val="28"/>
        </w:rPr>
        <w:t>Великовисочный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Н</w:t>
      </w:r>
      <w:r w:rsidRPr="00476F3A">
        <w:rPr>
          <w:rFonts w:ascii="Times New Roman" w:hAnsi="Times New Roman" w:cs="Times New Roman"/>
          <w:sz w:val="28"/>
          <w:szCs w:val="28"/>
        </w:rPr>
        <w:t>енецког</w:t>
      </w:r>
      <w:r w:rsidR="00AD3164">
        <w:rPr>
          <w:rFonts w:ascii="Times New Roman" w:hAnsi="Times New Roman" w:cs="Times New Roman"/>
          <w:sz w:val="28"/>
          <w:szCs w:val="28"/>
        </w:rPr>
        <w:t>о автономного округа</w:t>
      </w:r>
      <w:r w:rsidR="001033F2" w:rsidRPr="00476F3A">
        <w:rPr>
          <w:rFonts w:ascii="Times New Roman" w:hAnsi="Times New Roman" w:cs="Times New Roman"/>
          <w:sz w:val="28"/>
          <w:szCs w:val="28"/>
        </w:rPr>
        <w:t xml:space="preserve">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1033F2" w:rsidRPr="00476F3A" w:rsidRDefault="00EC4D6E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33F2" w:rsidRPr="00476F3A">
        <w:rPr>
          <w:rFonts w:ascii="Times New Roman" w:hAnsi="Times New Roman" w:cs="Times New Roman"/>
          <w:sz w:val="28"/>
          <w:szCs w:val="28"/>
        </w:rPr>
        <w:t xml:space="preserve">в будние дни – на период времени, не превышающий одного часа для каждого зарегистрированного кандидата; </w:t>
      </w:r>
    </w:p>
    <w:p w:rsidR="001033F2" w:rsidRPr="00476F3A" w:rsidRDefault="00EC4D6E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3F2" w:rsidRPr="00476F3A">
        <w:rPr>
          <w:rFonts w:ascii="Times New Roman" w:hAnsi="Times New Roman" w:cs="Times New Roman"/>
          <w:sz w:val="28"/>
          <w:szCs w:val="28"/>
        </w:rPr>
        <w:t>в выходные и нерабочие праздничные дни – на период времени, не превышающий двух часов для</w:t>
      </w:r>
      <w:r w:rsidR="00A36788"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="001033F2" w:rsidRPr="00476F3A">
        <w:rPr>
          <w:rFonts w:ascii="Times New Roman" w:hAnsi="Times New Roman" w:cs="Times New Roman"/>
          <w:sz w:val="28"/>
          <w:szCs w:val="28"/>
        </w:rPr>
        <w:t>каждого зарегистрированного кандидата.</w:t>
      </w:r>
    </w:p>
    <w:p w:rsidR="008869D1" w:rsidRPr="00476F3A" w:rsidRDefault="00E52E6C" w:rsidP="00886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2. Собственникам, владельцам помещений, указанных в пункте 1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Pr="00476F3A">
        <w:rPr>
          <w:rFonts w:ascii="Times New Roman" w:hAnsi="Times New Roman" w:cs="Times New Roman"/>
          <w:sz w:val="28"/>
          <w:szCs w:val="28"/>
        </w:rPr>
        <w:t xml:space="preserve">, а также собственникам, владельцам помещений, находящихся в собственности организаций, </w:t>
      </w:r>
      <w:r w:rsidR="008869D1" w:rsidRPr="00476F3A">
        <w:rPr>
          <w:rFonts w:ascii="Times New Roman" w:hAnsi="Times New Roman" w:cs="Times New Roman"/>
          <w:sz w:val="28"/>
          <w:szCs w:val="28"/>
        </w:rPr>
        <w:t>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избирательной комиссии муниципального образования «</w:t>
      </w:r>
      <w:r w:rsidR="00AD3164">
        <w:rPr>
          <w:rFonts w:ascii="Times New Roman" w:hAnsi="Times New Roman" w:cs="Times New Roman"/>
          <w:sz w:val="28"/>
          <w:szCs w:val="28"/>
        </w:rPr>
        <w:t>Великовисочный</w:t>
      </w:r>
      <w:r w:rsidR="008869D1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3. Избирательной комиссии муниципального образования «</w:t>
      </w:r>
      <w:r w:rsidR="00AD3164">
        <w:rPr>
          <w:rFonts w:ascii="Times New Roman" w:hAnsi="Times New Roman" w:cs="Times New Roman"/>
          <w:sz w:val="28"/>
          <w:szCs w:val="28"/>
        </w:rPr>
        <w:t>Великовисочный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976255" w:rsidRPr="00476F3A" w:rsidRDefault="00EC4D6E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55" w:rsidRPr="00476F3A">
        <w:rPr>
          <w:rFonts w:ascii="Times New Roman" w:hAnsi="Times New Roman" w:cs="Times New Roman"/>
          <w:sz w:val="28"/>
          <w:szCs w:val="28"/>
        </w:rPr>
        <w:t xml:space="preserve">размещать в течение двух суток с момента получения уведомления, указанного в пункте 2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="00976255" w:rsidRPr="00476F3A">
        <w:rPr>
          <w:rFonts w:ascii="Times New Roman" w:hAnsi="Times New Roman" w:cs="Times New Roman"/>
          <w:sz w:val="28"/>
          <w:szCs w:val="28"/>
        </w:rPr>
        <w:t xml:space="preserve">, содержащуюся в нем информацию в информационно-телекоммуникационной сети «Интернет» по форме, установленной приложением № 2 к настоящему </w:t>
      </w:r>
      <w:r w:rsidR="008E3C6F">
        <w:rPr>
          <w:rFonts w:ascii="Times New Roman" w:hAnsi="Times New Roman" w:cs="Times New Roman"/>
          <w:sz w:val="28"/>
          <w:szCs w:val="28"/>
        </w:rPr>
        <w:t>решению</w:t>
      </w:r>
      <w:r w:rsidR="00976255" w:rsidRPr="00476F3A">
        <w:rPr>
          <w:rFonts w:ascii="Times New Roman" w:hAnsi="Times New Roman" w:cs="Times New Roman"/>
          <w:sz w:val="28"/>
          <w:szCs w:val="28"/>
        </w:rPr>
        <w:t>;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="00EC4D6E">
        <w:rPr>
          <w:rFonts w:ascii="Times New Roman" w:hAnsi="Times New Roman" w:cs="Times New Roman"/>
          <w:sz w:val="28"/>
          <w:szCs w:val="28"/>
        </w:rPr>
        <w:t xml:space="preserve">- </w:t>
      </w:r>
      <w:r w:rsidRPr="00476F3A">
        <w:rPr>
          <w:rFonts w:ascii="Times New Roman" w:hAnsi="Times New Roman" w:cs="Times New Roman"/>
          <w:sz w:val="28"/>
          <w:szCs w:val="28"/>
        </w:rPr>
        <w:t>довести настоящее решение до собственников, владельцев помещений, указанных в настоящем решении.</w:t>
      </w:r>
    </w:p>
    <w:p w:rsidR="00DB4C86" w:rsidRPr="00476F3A" w:rsidRDefault="00DB4C86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председателя избирательной комиссии муниципального образования «</w:t>
      </w:r>
      <w:r w:rsidR="00AD3164">
        <w:rPr>
          <w:rFonts w:ascii="Times New Roman" w:hAnsi="Times New Roman" w:cs="Times New Roman"/>
          <w:sz w:val="28"/>
          <w:szCs w:val="28"/>
        </w:rPr>
        <w:t>Великовисочный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D3164">
        <w:rPr>
          <w:rFonts w:ascii="Times New Roman" w:hAnsi="Times New Roman" w:cs="Times New Roman"/>
          <w:sz w:val="28"/>
          <w:szCs w:val="28"/>
        </w:rPr>
        <w:t>Н</w:t>
      </w:r>
      <w:r w:rsidRPr="00476F3A">
        <w:rPr>
          <w:rFonts w:ascii="Times New Roman" w:hAnsi="Times New Roman" w:cs="Times New Roman"/>
          <w:sz w:val="28"/>
          <w:szCs w:val="28"/>
        </w:rPr>
        <w:t xml:space="preserve">енецкого автономного округа </w:t>
      </w:r>
      <w:r w:rsidR="00AD3164">
        <w:rPr>
          <w:rFonts w:ascii="Times New Roman" w:hAnsi="Times New Roman" w:cs="Times New Roman"/>
          <w:sz w:val="28"/>
          <w:szCs w:val="28"/>
        </w:rPr>
        <w:t>Торопову Ольгу Николаевну</w:t>
      </w:r>
      <w:r w:rsidR="00875D31">
        <w:rPr>
          <w:rFonts w:ascii="Times New Roman" w:hAnsi="Times New Roman" w:cs="Times New Roman"/>
          <w:sz w:val="28"/>
          <w:szCs w:val="28"/>
        </w:rPr>
        <w:t>.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AD3164">
        <w:rPr>
          <w:rFonts w:ascii="Times New Roman" w:eastAsia="Times New Roman" w:hAnsi="Times New Roman" w:cs="Times New Roman"/>
          <w:sz w:val="28"/>
          <w:szCs w:val="28"/>
        </w:rPr>
        <w:t>Великовисочный</w:t>
      </w: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НАО             ____________ </w:t>
      </w:r>
      <w:r w:rsidR="00875D31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r w:rsidR="00AD3164" w:rsidRPr="00AD31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О.Н.Торопова</w:t>
      </w:r>
    </w:p>
    <w:p w:rsidR="00562D2E" w:rsidRPr="00476F3A" w:rsidRDefault="00562D2E" w:rsidP="00562D2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2D2E" w:rsidRPr="00476F3A" w:rsidRDefault="00875D31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r w:rsidR="00562D2E"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AD3164">
        <w:rPr>
          <w:rFonts w:ascii="Times New Roman" w:eastAsia="Times New Roman" w:hAnsi="Times New Roman" w:cs="Times New Roman"/>
          <w:sz w:val="28"/>
          <w:szCs w:val="28"/>
        </w:rPr>
        <w:t>Великовисочный</w:t>
      </w:r>
      <w:r w:rsidRPr="00476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НАО        </w:t>
      </w:r>
      <w:r w:rsidR="00AD316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 </w:t>
      </w:r>
      <w:r w:rsidR="00875D31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r w:rsidR="00AD3164" w:rsidRPr="00AD31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Т.Ф.Баракова</w:t>
      </w:r>
    </w:p>
    <w:p w:rsidR="00BF5666" w:rsidRDefault="00BF5666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  <w:sectPr w:rsidR="00BF5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1033F2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Приложение № 1</w:t>
      </w:r>
    </w:p>
    <w:p w:rsidR="00356865" w:rsidRPr="002733CA" w:rsidRDefault="002733CA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56865" w:rsidRPr="002733CA">
        <w:rPr>
          <w:rFonts w:ascii="Times New Roman" w:hAnsi="Times New Roman" w:cs="Times New Roman"/>
        </w:rPr>
        <w:t xml:space="preserve"> </w:t>
      </w:r>
      <w:r w:rsidR="00875D31">
        <w:rPr>
          <w:rFonts w:ascii="Times New Roman" w:hAnsi="Times New Roman" w:cs="Times New Roman"/>
        </w:rPr>
        <w:t>р</w:t>
      </w:r>
      <w:r w:rsidR="00356865" w:rsidRPr="002733CA">
        <w:rPr>
          <w:rFonts w:ascii="Times New Roman" w:hAnsi="Times New Roman" w:cs="Times New Roman"/>
        </w:rPr>
        <w:t>ешению избирательной комиссии</w:t>
      </w:r>
    </w:p>
    <w:p w:rsidR="00356865" w:rsidRPr="002733CA" w:rsidRDefault="00EC4D6E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56865" w:rsidRPr="002733CA">
        <w:rPr>
          <w:rFonts w:ascii="Times New Roman" w:hAnsi="Times New Roman" w:cs="Times New Roman"/>
        </w:rPr>
        <w:t>униципального образования</w:t>
      </w:r>
    </w:p>
    <w:p w:rsidR="00356865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 w:rsidR="00AD3164">
        <w:rPr>
          <w:rFonts w:ascii="Times New Roman" w:hAnsi="Times New Roman" w:cs="Times New Roman"/>
        </w:rPr>
        <w:t>Великовисочный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356865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BF5666" w:rsidRDefault="002733CA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0537F8"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>»</w:t>
      </w:r>
      <w:r w:rsidR="00AD3164">
        <w:rPr>
          <w:rFonts w:ascii="Times New Roman" w:hAnsi="Times New Roman" w:cs="Times New Roman"/>
        </w:rPr>
        <w:t xml:space="preserve"> </w:t>
      </w:r>
      <w:r w:rsidR="000537F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</w:t>
      </w:r>
      <w:r w:rsidR="00AD3164">
        <w:rPr>
          <w:rFonts w:ascii="Times New Roman" w:hAnsi="Times New Roman" w:cs="Times New Roman"/>
        </w:rPr>
        <w:t>20</w:t>
      </w:r>
      <w:r w:rsidR="00EC4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EC4D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№</w:t>
      </w:r>
      <w:r w:rsidR="000537F8">
        <w:rPr>
          <w:rFonts w:ascii="Times New Roman" w:hAnsi="Times New Roman" w:cs="Times New Roman"/>
        </w:rPr>
        <w:t xml:space="preserve"> 25</w:t>
      </w:r>
    </w:p>
    <w:p w:rsidR="00BF5666" w:rsidRPr="008E3C6F" w:rsidRDefault="002733CA" w:rsidP="00BF5666">
      <w:pPr>
        <w:pStyle w:val="Default"/>
        <w:jc w:val="center"/>
        <w:rPr>
          <w:b/>
          <w:sz w:val="23"/>
          <w:szCs w:val="23"/>
        </w:rPr>
      </w:pPr>
      <w:r>
        <w:t xml:space="preserve"> </w:t>
      </w:r>
      <w:r w:rsidR="00BF5666" w:rsidRPr="008E3C6F">
        <w:rPr>
          <w:b/>
          <w:bCs/>
          <w:sz w:val="23"/>
          <w:szCs w:val="23"/>
        </w:rPr>
        <w:t>Уведомление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на должность 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 муниципального образования «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Великовисочный</w:t>
      </w:r>
      <w:r w:rsidR="00875D3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т» Ненецкого автономного округа.</w:t>
      </w:r>
    </w:p>
    <w:p w:rsidR="00BF5666" w:rsidRPr="00BF5666" w:rsidRDefault="00BF5666" w:rsidP="00BF5666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>тствии с пунктами 3 и 4 статьи 53</w:t>
      </w:r>
      <w:r w:rsidR="0079175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91757"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1"/>
        <w:tblW w:w="0" w:type="auto"/>
        <w:tblLook w:val="04A0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BF5666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68"/>
        <w:gridCol w:w="3568"/>
        <w:gridCol w:w="3568"/>
        <w:gridCol w:w="3568"/>
      </w:tblGrid>
      <w:tr w:rsidR="00BF5666" w:rsidRPr="00BF5666" w:rsidTr="008E3C6F">
        <w:trPr>
          <w:trHeight w:val="344"/>
        </w:trPr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 w:rsidR="005566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2733CA" w:rsidRPr="002733CA" w:rsidRDefault="002733CA" w:rsidP="00BF5666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BF5666" w:rsidRDefault="00BF5666" w:rsidP="00BD0F7F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BF5666" w:rsidSect="0055668C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 w:rsidR="00875D31"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A776DC" w:rsidRPr="002733CA" w:rsidRDefault="00EC4D6E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776DC" w:rsidRPr="002733CA">
        <w:rPr>
          <w:rFonts w:ascii="Times New Roman" w:hAnsi="Times New Roman" w:cs="Times New Roman"/>
        </w:rPr>
        <w:t>униципального образования</w:t>
      </w: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 w:rsidR="00AD3164">
        <w:rPr>
          <w:rFonts w:ascii="Times New Roman" w:hAnsi="Times New Roman" w:cs="Times New Roman"/>
        </w:rPr>
        <w:t>Великовисочный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A776DC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A776DC" w:rsidRDefault="000537F8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11 </w:t>
      </w:r>
      <w:r w:rsidR="00A776DC">
        <w:rPr>
          <w:rFonts w:ascii="Times New Roman" w:hAnsi="Times New Roman" w:cs="Times New Roman"/>
        </w:rPr>
        <w:t>»</w:t>
      </w:r>
      <w:r w:rsidR="00AD3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="00875D31">
        <w:rPr>
          <w:rFonts w:ascii="Times New Roman" w:hAnsi="Times New Roman" w:cs="Times New Roman"/>
        </w:rPr>
        <w:t xml:space="preserve"> </w:t>
      </w:r>
      <w:r w:rsidR="00A776DC">
        <w:rPr>
          <w:rFonts w:ascii="Times New Roman" w:hAnsi="Times New Roman" w:cs="Times New Roman"/>
        </w:rPr>
        <w:t xml:space="preserve"> 20</w:t>
      </w:r>
      <w:r w:rsidR="00AD3164">
        <w:rPr>
          <w:rFonts w:ascii="Times New Roman" w:hAnsi="Times New Roman" w:cs="Times New Roman"/>
        </w:rPr>
        <w:t>20</w:t>
      </w:r>
      <w:r w:rsidR="00A776DC">
        <w:rPr>
          <w:rFonts w:ascii="Times New Roman" w:hAnsi="Times New Roman" w:cs="Times New Roman"/>
        </w:rPr>
        <w:t>г  №</w:t>
      </w:r>
      <w:r>
        <w:rPr>
          <w:rFonts w:ascii="Times New Roman" w:hAnsi="Times New Roman" w:cs="Times New Roman"/>
        </w:rPr>
        <w:t xml:space="preserve"> 25</w:t>
      </w:r>
    </w:p>
    <w:p w:rsidR="00A776DC" w:rsidRPr="00A776DC" w:rsidRDefault="00A776DC" w:rsidP="00A7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875D31" w:rsidRDefault="008E3C6F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 w:rsid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на должность 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 муниципального образования «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Великовисочный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</w:t>
      </w:r>
      <w:r w:rsidR="00AD31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т» Ненецкого автономного округа.</w:t>
      </w:r>
    </w:p>
    <w:p w:rsidR="00A776DC" w:rsidRPr="00BF5666" w:rsidRDefault="008E3C6F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A776DC"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 w:rsidR="00A776DC"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="00A776DC"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A776DC"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E3C6F" w:rsidRDefault="008E3C6F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 w:rsidR="008E3C6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</w:t>
      </w:r>
      <w:r w:rsidR="00AD31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Великовисочный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bookmarkStart w:id="0" w:name="_GoBack"/>
      <w:bookmarkEnd w:id="0"/>
      <w:r w:rsidR="004348B2" w:rsidRPr="004348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mikviska</w:t>
      </w:r>
      <w:r w:rsidR="004348B2" w:rsidRPr="004348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@</w:t>
      </w:r>
      <w:r w:rsidR="004348B2" w:rsidRPr="004348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mail</w:t>
      </w:r>
      <w:r w:rsidR="004348B2" w:rsidRPr="004348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  <w:r w:rsidR="004348B2" w:rsidRPr="004348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ru</w:t>
      </w:r>
      <w:r w:rsidR="00875D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1221E8" w:rsidRPr="001221E8" w:rsidRDefault="001221E8" w:rsidP="00A776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221E8" w:rsidRPr="001221E8" w:rsidSect="00A776D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85AF6"/>
    <w:rsid w:val="000537F8"/>
    <w:rsid w:val="001033F2"/>
    <w:rsid w:val="001221E8"/>
    <w:rsid w:val="001C2C8F"/>
    <w:rsid w:val="001C343B"/>
    <w:rsid w:val="00212139"/>
    <w:rsid w:val="002733CA"/>
    <w:rsid w:val="002F6F26"/>
    <w:rsid w:val="00356865"/>
    <w:rsid w:val="00385AF6"/>
    <w:rsid w:val="003F13F4"/>
    <w:rsid w:val="0041079B"/>
    <w:rsid w:val="004348B2"/>
    <w:rsid w:val="0047209A"/>
    <w:rsid w:val="00476F3A"/>
    <w:rsid w:val="0055668C"/>
    <w:rsid w:val="00562D2E"/>
    <w:rsid w:val="0057078E"/>
    <w:rsid w:val="0071556B"/>
    <w:rsid w:val="00791757"/>
    <w:rsid w:val="00875D31"/>
    <w:rsid w:val="008869D1"/>
    <w:rsid w:val="008A285E"/>
    <w:rsid w:val="008E3C6F"/>
    <w:rsid w:val="008F22ED"/>
    <w:rsid w:val="00976255"/>
    <w:rsid w:val="0099718B"/>
    <w:rsid w:val="00A26B01"/>
    <w:rsid w:val="00A36788"/>
    <w:rsid w:val="00A776DC"/>
    <w:rsid w:val="00AC528B"/>
    <w:rsid w:val="00AD3164"/>
    <w:rsid w:val="00B3506E"/>
    <w:rsid w:val="00B63C98"/>
    <w:rsid w:val="00BD0F7F"/>
    <w:rsid w:val="00BF5666"/>
    <w:rsid w:val="00C536C6"/>
    <w:rsid w:val="00CE0410"/>
    <w:rsid w:val="00CE584A"/>
    <w:rsid w:val="00D55349"/>
    <w:rsid w:val="00DB4C86"/>
    <w:rsid w:val="00DC1692"/>
    <w:rsid w:val="00E52E6C"/>
    <w:rsid w:val="00EC4D6E"/>
    <w:rsid w:val="00EF7259"/>
    <w:rsid w:val="00F2651E"/>
    <w:rsid w:val="00F62A6C"/>
    <w:rsid w:val="00FC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45B1-0256-448F-BEF8-B278D57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15</cp:revision>
  <dcterms:created xsi:type="dcterms:W3CDTF">2017-03-10T08:08:00Z</dcterms:created>
  <dcterms:modified xsi:type="dcterms:W3CDTF">2020-08-12T14:03:00Z</dcterms:modified>
</cp:coreProperties>
</file>