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7200" cy="586105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DC3B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.10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.2020 №  1</w:t>
      </w:r>
      <w:r w:rsidR="000F1C2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67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-п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с. Великовисочное </w:t>
      </w:r>
      <w:proofErr w:type="gramStart"/>
      <w:r w:rsidRPr="00A46001">
        <w:rPr>
          <w:rFonts w:ascii="Times New Roman" w:eastAsia="Times New Roman" w:hAnsi="Times New Roman" w:cs="Times New Roman"/>
          <w:sz w:val="20"/>
          <w:szCs w:val="24"/>
        </w:rPr>
        <w:t>Ненецкий</w:t>
      </w:r>
      <w:proofErr w:type="gramEnd"/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АО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1C24" w:rsidRDefault="000F1C24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2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Pr="000F1C24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 </w:t>
      </w:r>
      <w:r w:rsidRPr="000F1C2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F1C24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A46001" w:rsidRPr="000F1C24" w:rsidRDefault="000F1C24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C24">
        <w:rPr>
          <w:rFonts w:ascii="Times New Roman" w:hAnsi="Times New Roman" w:cs="Times New Roman"/>
          <w:b/>
          <w:sz w:val="28"/>
          <w:szCs w:val="28"/>
        </w:rPr>
        <w:t>МО «Великовисочный сельсовет» НАО на 2021 год</w:t>
      </w: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01" w:rsidRPr="00A46001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A46001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8.2</w:t>
        </w:r>
      </w:hyperlink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ерального закона от 26.12.2008 №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294-ФЗ 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зора) и муниципального контроля»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</w:t>
      </w:r>
      <w:r w:rsidRPr="00A460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от 2</w:t>
      </w:r>
      <w:r w:rsidR="007D5099">
        <w:rPr>
          <w:rFonts w:ascii="Times New Roman" w:hAnsi="Times New Roman" w:cs="Times New Roman"/>
          <w:sz w:val="28"/>
          <w:szCs w:val="28"/>
        </w:rPr>
        <w:t>5</w:t>
      </w:r>
      <w:r w:rsidRPr="00A46001">
        <w:rPr>
          <w:rFonts w:ascii="Times New Roman" w:hAnsi="Times New Roman" w:cs="Times New Roman"/>
          <w:sz w:val="28"/>
          <w:szCs w:val="28"/>
        </w:rPr>
        <w:t>.09.2020 №</w:t>
      </w:r>
      <w:r w:rsidR="007D5099">
        <w:rPr>
          <w:rFonts w:ascii="Times New Roman" w:hAnsi="Times New Roman" w:cs="Times New Roman"/>
          <w:sz w:val="28"/>
          <w:szCs w:val="28"/>
        </w:rPr>
        <w:t xml:space="preserve"> 138</w:t>
      </w:r>
      <w:r w:rsidRPr="00A46001">
        <w:rPr>
          <w:rFonts w:ascii="Times New Roman" w:hAnsi="Times New Roman" w:cs="Times New Roman"/>
          <w:sz w:val="28"/>
          <w:szCs w:val="28"/>
        </w:rPr>
        <w:t>,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муниципального  образования «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 округа  ПОСТАНОВЛЯЕТ: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 xml:space="preserve"> 1. Утвердить прилагаемую </w:t>
      </w:r>
      <w:hyperlink w:anchor="P32" w:history="1">
        <w:r w:rsidRPr="00A46001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460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C24" w:rsidRPr="00257F8F">
        <w:rPr>
          <w:rFonts w:ascii="Times New Roman" w:hAnsi="Times New Roman"/>
          <w:sz w:val="26"/>
          <w:szCs w:val="26"/>
        </w:rPr>
        <w:t xml:space="preserve">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="000F1C24" w:rsidRPr="00257F8F">
        <w:rPr>
          <w:rFonts w:ascii="Times New Roman" w:hAnsi="Times New Roman"/>
          <w:bCs/>
          <w:sz w:val="26"/>
          <w:szCs w:val="26"/>
        </w:rPr>
        <w:t xml:space="preserve">контроля  </w:t>
      </w:r>
      <w:r w:rsidR="000F1C24" w:rsidRPr="00257F8F">
        <w:rPr>
          <w:rFonts w:ascii="Times New Roman" w:hAnsi="Times New Roman"/>
          <w:sz w:val="26"/>
          <w:szCs w:val="26"/>
        </w:rPr>
        <w:t>за</w:t>
      </w:r>
      <w:proofErr w:type="gramEnd"/>
      <w:r w:rsidR="000F1C24" w:rsidRPr="00257F8F">
        <w:rPr>
          <w:rFonts w:ascii="Times New Roman" w:hAnsi="Times New Roman"/>
          <w:sz w:val="26"/>
          <w:szCs w:val="26"/>
        </w:rPr>
        <w:t xml:space="preserve"> сохранностью автомобильных дорог местного значения в границах населенных пунктов МО «Великовисочный сельсовет» НАО на 2021 год</w:t>
      </w:r>
      <w:r w:rsidRPr="00A46001">
        <w:rPr>
          <w:rFonts w:ascii="Times New Roman" w:hAnsi="Times New Roman"/>
          <w:color w:val="000000"/>
          <w:sz w:val="28"/>
          <w:szCs w:val="28"/>
        </w:rPr>
        <w:t>.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A8D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DE6A8D" w:rsidRPr="00E70AE9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0AE9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Попов</w:t>
      </w:r>
    </w:p>
    <w:p w:rsidR="00DE6A8D" w:rsidRDefault="00DE6A8D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 «Великовисочный сельсовет» НАО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DC3B2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10.2020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F1C2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46001" w:rsidRPr="007D5099" w:rsidRDefault="00A46001" w:rsidP="00A46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7A602B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32" w:history="1">
        <w:r w:rsidR="00A46001" w:rsidRPr="007D5099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="00A46001" w:rsidRPr="007D50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0F1C24" w:rsidRDefault="000F1C24" w:rsidP="00A460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24">
        <w:rPr>
          <w:rFonts w:ascii="Times New Roman" w:hAnsi="Times New Roman" w:cs="Times New Roman"/>
          <w:b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 w:rsidRPr="000F1C24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 </w:t>
      </w:r>
      <w:r w:rsidRPr="000F1C2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F1C24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A46001" w:rsidRPr="000F1C24" w:rsidRDefault="000F1C24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1C24">
        <w:rPr>
          <w:rFonts w:ascii="Times New Roman" w:hAnsi="Times New Roman" w:cs="Times New Roman"/>
          <w:b/>
          <w:sz w:val="28"/>
          <w:szCs w:val="28"/>
        </w:rPr>
        <w:t>МО «Великовисочный сельсовет» НАО на 2021 год</w:t>
      </w:r>
    </w:p>
    <w:p w:rsidR="00A46001" w:rsidRPr="007D5099" w:rsidRDefault="00A46001" w:rsidP="00A4600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001" w:rsidRPr="007D5099" w:rsidRDefault="00A46001" w:rsidP="00A46001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Аналитическая часть</w:t>
      </w: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62A00">
        <w:rPr>
          <w:rFonts w:ascii="Times New Roman" w:hAnsi="Times New Roman"/>
          <w:color w:val="000000"/>
          <w:sz w:val="28"/>
          <w:szCs w:val="28"/>
        </w:rPr>
        <w:t xml:space="preserve">Муниципальную функцию по осуществлению муниципального </w:t>
      </w:r>
      <w:proofErr w:type="gramStart"/>
      <w:r w:rsidRPr="00062A00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="00062A00" w:rsidRPr="00062A00">
        <w:rPr>
          <w:rFonts w:ascii="Times New Roman" w:hAnsi="Times New Roman"/>
          <w:sz w:val="28"/>
          <w:szCs w:val="28"/>
        </w:rPr>
        <w:t>за</w:t>
      </w:r>
      <w:proofErr w:type="gramEnd"/>
      <w:r w:rsidR="00062A00" w:rsidRPr="00062A00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Pr="00062A00">
        <w:rPr>
          <w:rFonts w:ascii="Times New Roman" w:hAnsi="Times New Roman"/>
          <w:color w:val="000000"/>
          <w:sz w:val="28"/>
          <w:szCs w:val="28"/>
        </w:rPr>
        <w:t>на территории муниципального  образования «</w:t>
      </w:r>
      <w:r w:rsidR="007D5099" w:rsidRPr="00062A00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062A00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исполняет Администрация муниципального образования «</w:t>
      </w:r>
      <w:r w:rsidR="007D5099" w:rsidRPr="00062A00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062A00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далее – Администрация муниципального образования, орган муниципального </w:t>
      </w:r>
      <w:r w:rsidR="00AF4724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контроля).</w:t>
      </w:r>
    </w:p>
    <w:p w:rsidR="00A46001" w:rsidRPr="005A6C41" w:rsidRDefault="00A46001" w:rsidP="007D5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</w:t>
      </w:r>
      <w:r w:rsidRPr="005A6C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индивидуальными предпринимателями и юридическими лицами при осуществлении муниципального </w:t>
      </w:r>
      <w:r w:rsidR="00DC3B23" w:rsidRPr="005A6C4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5A6C4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реализуются в соответствии с  </w:t>
      </w:r>
      <w:r w:rsidRPr="005A6C41">
        <w:rPr>
          <w:rFonts w:ascii="Times New Roman" w:hAnsi="Times New Roman" w:cs="Times New Roman"/>
          <w:sz w:val="28"/>
          <w:szCs w:val="28"/>
        </w:rPr>
        <w:t>Административным регламентом исполнения муниципальной функции по осуществлению муниципального контроля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</w:t>
      </w:r>
      <w:proofErr w:type="gramEnd"/>
      <w:r w:rsidR="005A6C41" w:rsidRPr="005A6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C41" w:rsidRPr="005A6C41">
        <w:rPr>
          <w:rFonts w:ascii="Times New Roman" w:hAnsi="Times New Roman" w:cs="Times New Roman"/>
          <w:sz w:val="28"/>
          <w:szCs w:val="28"/>
        </w:rPr>
        <w:t xml:space="preserve">дорог местного значения в границах населенных пунктов </w:t>
      </w:r>
      <w:r w:rsidRPr="005A6C41">
        <w:rPr>
          <w:rFonts w:ascii="Times New Roman" w:hAnsi="Times New Roman" w:cs="Times New Roman"/>
          <w:sz w:val="28"/>
          <w:szCs w:val="28"/>
        </w:rPr>
        <w:t>муниципального  образования «</w:t>
      </w:r>
      <w:r w:rsidR="007D5099" w:rsidRPr="005A6C41">
        <w:rPr>
          <w:rFonts w:ascii="Times New Roman" w:hAnsi="Times New Roman" w:cs="Times New Roman"/>
          <w:sz w:val="28"/>
          <w:szCs w:val="28"/>
        </w:rPr>
        <w:t>Великовисочный</w:t>
      </w:r>
      <w:r w:rsidRPr="005A6C4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утвержденным постановлением Администрации муниципального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6C41">
        <w:rPr>
          <w:rFonts w:ascii="Times New Roman" w:hAnsi="Times New Roman" w:cs="Times New Roman"/>
          <w:bCs/>
          <w:color w:val="000000"/>
          <w:sz w:val="28"/>
          <w:szCs w:val="28"/>
        </w:rPr>
        <w:t>05.11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.2016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5A6C4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D5099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509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 исполнения муниципальной функции по осуществлению </w:t>
      </w:r>
      <w:r w:rsidR="005A6C41" w:rsidRPr="005A6C41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Pr="005A6C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46001" w:rsidRPr="005A6C41" w:rsidRDefault="00AF4724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C41">
        <w:rPr>
          <w:rFonts w:ascii="Times New Roman" w:hAnsi="Times New Roman"/>
          <w:sz w:val="28"/>
          <w:szCs w:val="28"/>
        </w:rPr>
        <w:t xml:space="preserve">Муниципальный </w:t>
      </w:r>
      <w:r w:rsidR="005A6C41" w:rsidRPr="005A6C41">
        <w:rPr>
          <w:rFonts w:ascii="Times New Roman" w:hAnsi="Times New Roman"/>
          <w:sz w:val="28"/>
          <w:szCs w:val="28"/>
        </w:rPr>
        <w:t xml:space="preserve">контроля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 </w:t>
      </w:r>
      <w:r w:rsidR="00A46001" w:rsidRPr="005A6C41">
        <w:rPr>
          <w:rFonts w:ascii="Times New Roman" w:hAnsi="Times New Roman"/>
          <w:sz w:val="28"/>
          <w:szCs w:val="28"/>
        </w:rPr>
        <w:t xml:space="preserve">осуществляется муниципальными инспекторами путем проведения плановых и внеплановых проверок юридических лиц и индивидуальных </w:t>
      </w:r>
      <w:r w:rsidR="00A46001" w:rsidRPr="005A6C41">
        <w:rPr>
          <w:rFonts w:ascii="Times New Roman" w:hAnsi="Times New Roman"/>
          <w:sz w:val="28"/>
          <w:szCs w:val="28"/>
        </w:rPr>
        <w:lastRenderedPageBreak/>
        <w:t xml:space="preserve">предпринимателей, осуществляющих </w:t>
      </w:r>
      <w:r w:rsidR="005A6C41" w:rsidRPr="005A6C41">
        <w:rPr>
          <w:rFonts w:ascii="Times New Roman" w:hAnsi="Times New Roman"/>
          <w:sz w:val="28"/>
          <w:szCs w:val="28"/>
        </w:rPr>
        <w:t>содержанием автомобильных дорог местного значения в границах населенных пунктов МО «Великовисочный сельсовет» НАО</w:t>
      </w:r>
      <w:r w:rsidR="00A46001" w:rsidRPr="005A6C41">
        <w:rPr>
          <w:rFonts w:ascii="Times New Roman" w:hAnsi="Times New Roman"/>
          <w:sz w:val="28"/>
          <w:szCs w:val="28"/>
        </w:rPr>
        <w:t xml:space="preserve">, с учетом соблюдения требований, установленных Федеральным </w:t>
      </w:r>
      <w:hyperlink r:id="rId7" w:history="1">
        <w:r w:rsidR="00A46001" w:rsidRPr="005A6C41">
          <w:rPr>
            <w:rFonts w:ascii="Times New Roman" w:hAnsi="Times New Roman"/>
            <w:sz w:val="28"/>
            <w:szCs w:val="28"/>
          </w:rPr>
          <w:t>законом</w:t>
        </w:r>
      </w:hyperlink>
      <w:r w:rsidR="00A46001" w:rsidRPr="005A6C41">
        <w:rPr>
          <w:rFonts w:ascii="Times New Roman" w:hAnsi="Times New Roman"/>
          <w:sz w:val="28"/>
          <w:szCs w:val="28"/>
        </w:rPr>
        <w:t xml:space="preserve"> Российской Фе</w:t>
      </w:r>
      <w:r w:rsidR="007D5099" w:rsidRPr="005A6C41">
        <w:rPr>
          <w:rFonts w:ascii="Times New Roman" w:hAnsi="Times New Roman"/>
          <w:sz w:val="28"/>
          <w:szCs w:val="28"/>
        </w:rPr>
        <w:t xml:space="preserve">дерации от 26.12.2008 </w:t>
      </w:r>
      <w:r w:rsidR="007664DD" w:rsidRPr="005A6C41">
        <w:rPr>
          <w:rFonts w:ascii="Times New Roman" w:hAnsi="Times New Roman"/>
          <w:sz w:val="28"/>
          <w:szCs w:val="28"/>
        </w:rPr>
        <w:t>№</w:t>
      </w:r>
      <w:r w:rsidR="007D5099" w:rsidRPr="005A6C41">
        <w:rPr>
          <w:rFonts w:ascii="Times New Roman" w:hAnsi="Times New Roman"/>
          <w:sz w:val="28"/>
          <w:szCs w:val="28"/>
        </w:rPr>
        <w:t xml:space="preserve"> 294-ФЗ «</w:t>
      </w:r>
      <w:r w:rsidR="00A46001" w:rsidRPr="005A6C41">
        <w:rPr>
          <w:rFonts w:ascii="Times New Roman" w:hAnsi="Times New Roman"/>
          <w:sz w:val="28"/>
          <w:szCs w:val="28"/>
        </w:rPr>
        <w:t>О</w:t>
      </w:r>
      <w:proofErr w:type="gramEnd"/>
      <w:r w:rsidR="00A46001" w:rsidRPr="005A6C41">
        <w:rPr>
          <w:rFonts w:ascii="Times New Roman" w:hAnsi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</w:t>
      </w:r>
      <w:r w:rsidR="007D5099" w:rsidRPr="005A6C41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46001" w:rsidRPr="005A6C41">
        <w:rPr>
          <w:rFonts w:ascii="Times New Roman" w:hAnsi="Times New Roman"/>
          <w:sz w:val="28"/>
          <w:szCs w:val="28"/>
        </w:rPr>
        <w:t>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C41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Pr="007D5099">
        <w:rPr>
          <w:rFonts w:ascii="Times New Roman" w:hAnsi="Times New Roman" w:cs="Times New Roman"/>
          <w:sz w:val="28"/>
          <w:szCs w:val="28"/>
        </w:rPr>
        <w:t xml:space="preserve"> 2020 года количество подконтрольных субъектов </w:t>
      </w:r>
      <w:r w:rsidR="005A6C41">
        <w:rPr>
          <w:rFonts w:ascii="Times New Roman" w:hAnsi="Times New Roman" w:cs="Times New Roman"/>
          <w:sz w:val="28"/>
          <w:szCs w:val="28"/>
        </w:rPr>
        <w:t>– не установлено.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 xml:space="preserve">Статистические данные по осуществлению </w:t>
      </w:r>
      <w:r w:rsidR="005A6C41" w:rsidRPr="005A6C4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5A6C41" w:rsidRPr="005A6C4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A6C41" w:rsidRPr="005A6C41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Pr="007D5099">
        <w:rPr>
          <w:rFonts w:ascii="Times New Roman" w:hAnsi="Times New Roman"/>
          <w:sz w:val="28"/>
          <w:szCs w:val="28"/>
        </w:rPr>
        <w:t xml:space="preserve"> представлены в таблице.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474"/>
        <w:gridCol w:w="708"/>
        <w:gridCol w:w="709"/>
        <w:gridCol w:w="653"/>
        <w:gridCol w:w="709"/>
        <w:gridCol w:w="708"/>
        <w:gridCol w:w="709"/>
      </w:tblGrid>
      <w:tr w:rsidR="009448FE" w:rsidRPr="007D5099" w:rsidTr="009448FE">
        <w:tc>
          <w:tcPr>
            <w:tcW w:w="3748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62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448FE" w:rsidRPr="007D5099" w:rsidTr="009448FE">
        <w:tc>
          <w:tcPr>
            <w:tcW w:w="3748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653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6C41" w:rsidRPr="007D5099" w:rsidTr="009448FE">
        <w:tc>
          <w:tcPr>
            <w:tcW w:w="3748" w:type="dxa"/>
            <w:vAlign w:val="center"/>
          </w:tcPr>
          <w:p w:rsidR="005A6C41" w:rsidRPr="007D5099" w:rsidRDefault="005A6C41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vAlign w:val="center"/>
          </w:tcPr>
          <w:p w:rsidR="005A6C41" w:rsidRPr="007D5099" w:rsidRDefault="005A6C41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6C41" w:rsidRPr="007D5099" w:rsidRDefault="005A6C41" w:rsidP="007131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sz w:val="28"/>
          <w:szCs w:val="28"/>
        </w:rPr>
        <w:t xml:space="preserve">Случаи причинения юридическими лицами и индивидуальными предпринимателями, в отношении которых осуществлялись мероприятия по </w:t>
      </w:r>
      <w:proofErr w:type="spellStart"/>
      <w:r w:rsidR="003C0A2B">
        <w:rPr>
          <w:rFonts w:ascii="Times New Roman" w:hAnsi="Times New Roman" w:cs="Times New Roman"/>
          <w:sz w:val="28"/>
          <w:szCs w:val="28"/>
        </w:rPr>
        <w:t>муниципальнону</w:t>
      </w:r>
      <w:proofErr w:type="spellEnd"/>
      <w:r w:rsidR="003C0A2B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5A6C41" w:rsidRPr="005A6C41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Pr="007D5099">
        <w:rPr>
          <w:rFonts w:ascii="Times New Roman" w:hAnsi="Times New Roman" w:cs="Times New Roman"/>
          <w:sz w:val="28"/>
          <w:szCs w:val="28"/>
        </w:rPr>
        <w:t>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</w:t>
      </w:r>
      <w:proofErr w:type="gramEnd"/>
      <w:r w:rsidRPr="007D5099">
        <w:rPr>
          <w:rFonts w:ascii="Times New Roman" w:hAnsi="Times New Roman" w:cs="Times New Roman"/>
          <w:sz w:val="28"/>
          <w:szCs w:val="28"/>
        </w:rPr>
        <w:t xml:space="preserve"> выявлялись.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sz w:val="28"/>
          <w:szCs w:val="28"/>
        </w:rPr>
        <w:t xml:space="preserve"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</w:t>
      </w:r>
      <w:r w:rsidR="005A6C41" w:rsidRPr="005A6C41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="005A6C41" w:rsidRPr="007D5099">
        <w:rPr>
          <w:rFonts w:ascii="Times New Roman" w:hAnsi="Times New Roman" w:cs="Times New Roman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sz w:val="28"/>
          <w:szCs w:val="28"/>
        </w:rPr>
        <w:lastRenderedPageBreak/>
        <w:t>применены меры дисциплинарного и административного наказания, не отмечено.</w:t>
      </w:r>
      <w:proofErr w:type="gramEnd"/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 Основные цели и задачи профилактической работы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2.1. Целями проведения профилактических мероприятий являются: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 xml:space="preserve">- повышение прозрачности деятельности Администрации муниципального образования при осуществлении муниципального </w:t>
      </w:r>
      <w:r w:rsidR="009448FE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7D5099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разъяснение подконтрольным субъектам обязательных требований.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7D509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и типов поднадзорных субъектов (объектов)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592" w:rsidRDefault="00A46001" w:rsidP="00A46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</w:t>
      </w:r>
      <w:r w:rsidR="005A6C41" w:rsidRPr="005A6C41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предметом муниципального контроля </w:t>
      </w:r>
      <w:r w:rsidRPr="007D5099">
        <w:rPr>
          <w:rFonts w:ascii="Times New Roman" w:hAnsi="Times New Roman" w:cs="Times New Roman"/>
          <w:sz w:val="28"/>
          <w:szCs w:val="28"/>
        </w:rPr>
        <w:t>является организация и проведение на территории муниципального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проверок соблюдения юридическими лицами, индивидуальными предпринимателями </w:t>
      </w:r>
      <w:r w:rsidR="006A1592" w:rsidRPr="00960083">
        <w:rPr>
          <w:rFonts w:ascii="Times New Roman" w:hAnsi="Times New Roman"/>
          <w:sz w:val="26"/>
          <w:szCs w:val="26"/>
        </w:rPr>
        <w:t>требований технических условий по размещению объектов, предназначенных для осуществления</w:t>
      </w:r>
      <w:proofErr w:type="gramEnd"/>
      <w:r w:rsidR="006A1592" w:rsidRPr="00960083">
        <w:rPr>
          <w:rFonts w:ascii="Times New Roman" w:hAnsi="Times New Roman"/>
          <w:sz w:val="26"/>
          <w:szCs w:val="26"/>
        </w:rPr>
        <w:t xml:space="preserve">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</w:t>
      </w:r>
      <w:r w:rsidR="006A1592">
        <w:rPr>
          <w:rFonts w:ascii="Times New Roman" w:hAnsi="Times New Roman"/>
          <w:sz w:val="26"/>
          <w:szCs w:val="26"/>
        </w:rPr>
        <w:t>.</w:t>
      </w:r>
    </w:p>
    <w:p w:rsidR="00A46001" w:rsidRPr="00874C13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Указанную функцию Администрация муниципального образования осуществляет в отношении </w:t>
      </w:r>
      <w:r w:rsidR="006A1592">
        <w:rPr>
          <w:rFonts w:ascii="Times New Roman" w:hAnsi="Times New Roman"/>
          <w:color w:val="000000" w:themeColor="text1"/>
          <w:sz w:val="28"/>
          <w:szCs w:val="28"/>
        </w:rPr>
        <w:t>автомобильных дорог общего пользования местного значения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находящегося в собственности муниципального 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«</w:t>
      </w:r>
      <w:r w:rsidR="007D5099" w:rsidRPr="00874C13">
        <w:rPr>
          <w:rFonts w:ascii="Times New Roman" w:hAnsi="Times New Roman"/>
          <w:color w:val="000000" w:themeColor="text1"/>
          <w:sz w:val="28"/>
          <w:szCs w:val="28"/>
        </w:rPr>
        <w:t>Великовисочный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Ненецкого автономного округа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Такие </w:t>
      </w:r>
      <w:r w:rsidR="006A15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автомобильные дороги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являются поднадзорными объектами.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6A1592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Описание ключевых наиболее значимых рисков, а также текущих</w:t>
      </w:r>
    </w:p>
    <w:p w:rsidR="00A46001" w:rsidRPr="00874C13" w:rsidRDefault="00A46001" w:rsidP="006A15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ожидаемых тенденций, которые могут оказать воздействие</w:t>
      </w:r>
    </w:p>
    <w:p w:rsidR="00A46001" w:rsidRPr="00874C13" w:rsidRDefault="00A46001" w:rsidP="006A15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состояние поднадзорной среды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ежегодно осуществляет информирование населения о своей деятельности в сфере </w:t>
      </w:r>
      <w:r w:rsidR="006A1592" w:rsidRPr="005A6C41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 значения в границах населенных пунктов муниципального  образования «Великовисочный сельсовет» Ненецкого автономного округа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</w:t>
      </w:r>
      <w:r w:rsidRPr="007D5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6001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lastRenderedPageBreak/>
        <w:t>5. План мероприятий по профилактике нарушений обязательных требований</w:t>
      </w:r>
      <w:r w:rsidR="00E3654F">
        <w:rPr>
          <w:rFonts w:ascii="Times New Roman" w:hAnsi="Times New Roman"/>
          <w:sz w:val="28"/>
          <w:szCs w:val="28"/>
        </w:rPr>
        <w:t xml:space="preserve"> </w:t>
      </w:r>
      <w:r w:rsidRPr="007D5099">
        <w:rPr>
          <w:rFonts w:ascii="Times New Roman" w:hAnsi="Times New Roman"/>
          <w:sz w:val="28"/>
          <w:szCs w:val="28"/>
        </w:rPr>
        <w:t>на 2021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15"/>
        <w:gridCol w:w="11"/>
        <w:gridCol w:w="2257"/>
        <w:gridCol w:w="11"/>
        <w:gridCol w:w="1973"/>
        <w:gridCol w:w="11"/>
      </w:tblGrid>
      <w:tr w:rsidR="00A46001" w:rsidRPr="00E3654F" w:rsidTr="00103288">
        <w:trPr>
          <w:gridAfter w:val="1"/>
          <w:wAfter w:w="11" w:type="dxa"/>
          <w:trHeight w:val="809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E3654F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6A1592" w:rsidRDefault="00A46001" w:rsidP="006A1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592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6A1592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6A1592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МО «Великовисочный сельсовет» НАО</w:t>
            </w:r>
            <w:r w:rsidRPr="006A1592">
              <w:rPr>
                <w:rFonts w:ascii="Times New Roman" w:hAnsi="Times New Roman"/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917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МО «Великовисочный сельсовет» НАО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>муниципального контроля за сохранностью автомобильных дорог местного значения в границах населенных пунктов МО «Великовисочный сельсовет» НАО</w:t>
            </w:r>
            <w:r w:rsidR="006A1592" w:rsidRPr="00E3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на 2022 год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E3654F">
        <w:rPr>
          <w:rFonts w:ascii="Times New Roman" w:hAnsi="Times New Roman"/>
          <w:sz w:val="28"/>
          <w:szCs w:val="28"/>
        </w:rPr>
        <w:lastRenderedPageBreak/>
        <w:t>6. Проект плана  мероприятий по профилактике нарушений</w:t>
      </w:r>
      <w:r w:rsidR="00103288">
        <w:rPr>
          <w:rFonts w:ascii="Times New Roman" w:hAnsi="Times New Roman"/>
          <w:sz w:val="28"/>
          <w:szCs w:val="28"/>
        </w:rPr>
        <w:t xml:space="preserve"> </w:t>
      </w:r>
      <w:r w:rsidRPr="00E3654F">
        <w:rPr>
          <w:rFonts w:ascii="Times New Roman" w:hAnsi="Times New Roman"/>
          <w:sz w:val="28"/>
          <w:szCs w:val="28"/>
        </w:rPr>
        <w:t xml:space="preserve"> обязательных требований на 2022-2023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26"/>
        <w:gridCol w:w="2268"/>
        <w:gridCol w:w="1984"/>
      </w:tblGrid>
      <w:tr w:rsidR="00A46001" w:rsidRPr="00E3654F" w:rsidTr="00103288">
        <w:trPr>
          <w:trHeight w:val="1360"/>
        </w:trPr>
        <w:tc>
          <w:tcPr>
            <w:tcW w:w="568" w:type="dxa"/>
            <w:shd w:val="clear" w:color="auto" w:fill="auto"/>
            <w:vAlign w:val="center"/>
          </w:tcPr>
          <w:p w:rsidR="00A46001" w:rsidRPr="00103288" w:rsidRDefault="00A46001" w:rsidP="00103288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103288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МО «Великовисочный сельсовет» НАО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776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</w:t>
            </w:r>
            <w:r w:rsidR="001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6A1592" w:rsidRPr="006A15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A1592" w:rsidRPr="006A1592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МО «Великовисочный сельсовет» НАО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</w:t>
            </w:r>
            <w:r w:rsidR="006A1592" w:rsidRPr="006A1592">
              <w:rPr>
                <w:rFonts w:ascii="Times New Roman" w:hAnsi="Times New Roman"/>
                <w:sz w:val="24"/>
                <w:szCs w:val="24"/>
              </w:rPr>
              <w:t>муниципального контроля за сохранностью автомобильных дорог местного значения в границах населенных пунктов МО «Великовисочный сельсовет» НАО</w:t>
            </w:r>
            <w:r w:rsidR="006A1592" w:rsidRPr="00E3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на 2022 год</w:t>
            </w:r>
            <w:proofErr w:type="gramEnd"/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Default="00A46001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3654F" w:rsidRPr="0072106B" w:rsidRDefault="00E3654F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103288" w:rsidRDefault="00103288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lastRenderedPageBreak/>
        <w:t>7. Механизм реализации Программы</w:t>
      </w: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E3654F" w:rsidRDefault="00A46001" w:rsidP="00A4600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Программа реализуется общим отделом Администрации муниципального образования</w:t>
      </w:r>
      <w:r w:rsidRPr="00E3654F">
        <w:rPr>
          <w:rFonts w:ascii="Times New Roman" w:hAnsi="Times New Roman"/>
          <w:sz w:val="28"/>
          <w:szCs w:val="28"/>
        </w:rPr>
        <w:t xml:space="preserve"> (органом  муниципального контроля) </w:t>
      </w:r>
      <w:r w:rsidRPr="00E3654F">
        <w:rPr>
          <w:rFonts w:ascii="Times New Roman" w:hAnsi="Times New Roman"/>
          <w:sz w:val="28"/>
          <w:szCs w:val="28"/>
          <w:lang w:eastAsia="ru-RU"/>
        </w:rPr>
        <w:t>к полномочиям которого относится: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1) подготовка ежегодного доклада об итогах реализации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4) подготовка проекта изменений в Программу.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E3654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</w:rPr>
        <w:t xml:space="preserve">8. </w:t>
      </w:r>
      <w:r w:rsidRPr="00E3654F">
        <w:rPr>
          <w:rFonts w:ascii="Times New Roman" w:hAnsi="Times New Roman"/>
          <w:sz w:val="28"/>
          <w:szCs w:val="28"/>
          <w:lang w:eastAsia="ru-RU"/>
        </w:rPr>
        <w:t>Уполномоченные лица, ответственные за организацию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>Уполномоченными лицами, ответственными за организацию и проведение профилактических мероприятий муниципального контроля, являются: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3288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103288" w:rsidRPr="00103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4F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7D5099" w:rsidRPr="00E3654F">
        <w:rPr>
          <w:rFonts w:ascii="Times New Roman" w:hAnsi="Times New Roman"/>
          <w:sz w:val="28"/>
          <w:szCs w:val="28"/>
          <w:lang w:eastAsia="ru-RU"/>
        </w:rPr>
        <w:t>Великовисочный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</w:t>
      </w:r>
      <w:r w:rsidR="00E3654F">
        <w:rPr>
          <w:rFonts w:ascii="Times New Roman" w:hAnsi="Times New Roman"/>
          <w:sz w:val="28"/>
          <w:szCs w:val="28"/>
          <w:lang w:eastAsia="ru-RU"/>
        </w:rPr>
        <w:t>округа», тел.: (8-81853) 37-3-72</w:t>
      </w:r>
      <w:r w:rsidRPr="00E3654F">
        <w:rPr>
          <w:rFonts w:ascii="Times New Roman" w:hAnsi="Times New Roman"/>
          <w:sz w:val="28"/>
          <w:szCs w:val="28"/>
          <w:lang w:eastAsia="ru-RU"/>
        </w:rPr>
        <w:t>;</w:t>
      </w:r>
    </w:p>
    <w:p w:rsidR="00103288" w:rsidRPr="00E3654F" w:rsidRDefault="00103288" w:rsidP="0010328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общего отдела </w:t>
      </w:r>
      <w:r w:rsidR="002A715E">
        <w:rPr>
          <w:rFonts w:ascii="Times New Roman" w:hAnsi="Times New Roman"/>
          <w:sz w:val="28"/>
          <w:szCs w:val="28"/>
          <w:lang w:eastAsia="ru-RU"/>
        </w:rPr>
        <w:t>по земельным и имущественным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отношениям 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«Великовисочный сельсовет» Ненецкого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округа», тел.: (8-81853) 37-3-72.</w:t>
      </w:r>
    </w:p>
    <w:p w:rsidR="00037E79" w:rsidRPr="00E3654F" w:rsidRDefault="00037E79">
      <w:pPr>
        <w:rPr>
          <w:sz w:val="28"/>
          <w:szCs w:val="28"/>
        </w:rPr>
      </w:pPr>
    </w:p>
    <w:sectPr w:rsidR="00037E79" w:rsidRPr="00E3654F" w:rsidSect="00103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001"/>
    <w:rsid w:val="00037E79"/>
    <w:rsid w:val="00062A00"/>
    <w:rsid w:val="000A3E7D"/>
    <w:rsid w:val="000F1C24"/>
    <w:rsid w:val="00103288"/>
    <w:rsid w:val="00131351"/>
    <w:rsid w:val="002A715E"/>
    <w:rsid w:val="003C0A2B"/>
    <w:rsid w:val="003E3487"/>
    <w:rsid w:val="00514D80"/>
    <w:rsid w:val="005A6C41"/>
    <w:rsid w:val="005F5986"/>
    <w:rsid w:val="006A1592"/>
    <w:rsid w:val="007664DD"/>
    <w:rsid w:val="007A602B"/>
    <w:rsid w:val="007D5099"/>
    <w:rsid w:val="00874C13"/>
    <w:rsid w:val="00885384"/>
    <w:rsid w:val="009448FE"/>
    <w:rsid w:val="009F3BAB"/>
    <w:rsid w:val="00A46001"/>
    <w:rsid w:val="00AC239A"/>
    <w:rsid w:val="00AF4724"/>
    <w:rsid w:val="00C219F3"/>
    <w:rsid w:val="00DC3B23"/>
    <w:rsid w:val="00DD258F"/>
    <w:rsid w:val="00DE6A8D"/>
    <w:rsid w:val="00E3654F"/>
    <w:rsid w:val="00E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6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460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46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46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00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46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2020-11-09T08:40:00Z</cp:lastPrinted>
  <dcterms:created xsi:type="dcterms:W3CDTF">2020-11-09T08:17:00Z</dcterms:created>
  <dcterms:modified xsi:type="dcterms:W3CDTF">2020-11-12T08:19:00Z</dcterms:modified>
</cp:coreProperties>
</file>