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51" w:rsidRPr="004F1A51" w:rsidRDefault="004F1A51" w:rsidP="004F1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ПРОЕКТ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657225"/>
            <wp:effectExtent l="19050" t="0" r="0" b="0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АДМИНИСТРАЦИЯ</w:t>
      </w: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СЕЛЬСКОГО ПОСЕЛЕНИЯ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«ВЕЛИКОВИСОЧНЫЙ СЕЛЬСОВЕТ»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ЗАПОЛЯРНОГО РАЙОНА </w:t>
      </w: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НЕНЕЦКОГО АВТОНОМНОГО ОКРУГА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F1A51" w:rsidRDefault="004F1A51" w:rsidP="004F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4F1A51" w:rsidRPr="004F1A51" w:rsidRDefault="004F1A51" w:rsidP="004F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F1A51" w:rsidRPr="004F1A51" w:rsidRDefault="004F1A51" w:rsidP="004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от 00.00.0000 № 00-п</w:t>
      </w:r>
    </w:p>
    <w:p w:rsidR="004F1A51" w:rsidRPr="004F1A51" w:rsidRDefault="004F1A51" w:rsidP="004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Великовисочное, </w:t>
      </w:r>
      <w:proofErr w:type="gramStart"/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Ненецкий</w:t>
      </w:r>
      <w:proofErr w:type="gramEnd"/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АО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ОБ УТВЕРЖДЕНИИ ПОРЯДКА ПРЕДОСТАВЛЕНИЯ СУБСИДИИ МУНИЦИПАЛЬНЫМ</w:t>
      </w:r>
      <w:r w:rsidR="004F1A51"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 xml:space="preserve">КАЗЕННЫМ ПРЕДПРИЯТИЯМ </w:t>
      </w:r>
      <w:proofErr w:type="gramStart"/>
      <w:r w:rsidRPr="004F1A51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4F1A51">
        <w:rPr>
          <w:rFonts w:ascii="Times New Roman" w:hAnsi="Times New Roman" w:cs="Times New Roman"/>
          <w:sz w:val="24"/>
          <w:szCs w:val="28"/>
        </w:rPr>
        <w:t xml:space="preserve"> ФИНАНСОВОГО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ОБЕСПЕЧЕНИЯ ЗАТРАТ, СВЯЗАННЫХ С ПРОИЗВОДСТВОМ (РЕАЛИЗАЦИЕЙ)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СЕЛЬСКОХОЗЯЙСТВЕННОЙ ПРОДУКЦИИ, В ЦЕЛЯХ ВОССТАНОВЛЕНИЯ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ИХ ПЛАТЕЖЕСПОСОБНОСТИ</w:t>
      </w:r>
    </w:p>
    <w:p w:rsidR="000D5A67" w:rsidRPr="004F1A51" w:rsidRDefault="000D5A67" w:rsidP="004F1A51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0D5A67" w:rsidRPr="004F1A51" w:rsidRDefault="000D5A67" w:rsidP="004F1A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восстановления платежеспособности муниципальных казенных предприятий, руководствуясь </w:t>
      </w:r>
      <w:hyperlink r:id="rId5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14.11.2002 N 161-ФЗ "О государственных и муниципальных унитарных предприятиях", </w:t>
      </w:r>
      <w:hyperlink r:id="rId7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«Великовисочный сельсовет» ЗР НАО Администрация Сельского поселения «Великовисочный сельсовет» ЗР НАО постановляет: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1. Установить, что к расходным обязательствам Сельского поселения «Великовисочный сельсовет» ЗР НАО относится предоставление субсидии муниципальным казенным предприятиям для финансового обеспечения затрат, связанных с производством (реализацией) сельскохозяйственной продукции в целях восстановления их платежеспособности.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2. Утвердить прилагаемый Порядок предоставления субсидии муниципальным казенным предприятиям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платежеспособности.</w:t>
      </w:r>
    </w:p>
    <w:p w:rsidR="004F1A51" w:rsidRPr="003A6987" w:rsidRDefault="000D5A67" w:rsidP="004F1A51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3. </w:t>
      </w:r>
      <w:r w:rsidR="004F1A51" w:rsidRPr="00E3495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F1A51"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4F1A51" w:rsidRDefault="004F1A51" w:rsidP="004F1A51">
      <w:pPr>
        <w:rPr>
          <w:rFonts w:ascii="Times New Roman" w:hAnsi="Times New Roman"/>
        </w:rPr>
      </w:pPr>
    </w:p>
    <w:p w:rsidR="004F1A51" w:rsidRPr="003A6987" w:rsidRDefault="004F1A51" w:rsidP="004F1A51">
      <w:pPr>
        <w:rPr>
          <w:rFonts w:ascii="Times New Roman" w:hAnsi="Times New Roman"/>
        </w:rPr>
      </w:pPr>
    </w:p>
    <w:p w:rsidR="004F1A51" w:rsidRDefault="004F1A51" w:rsidP="004F1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F1A51" w:rsidRPr="003A6987" w:rsidRDefault="004F1A51" w:rsidP="004F1A51">
      <w:pPr>
        <w:rPr>
          <w:rFonts w:ascii="Times New Roman" w:hAnsi="Times New Roman"/>
        </w:rPr>
      </w:pPr>
      <w:r w:rsidRPr="00E34953">
        <w:rPr>
          <w:rFonts w:ascii="Times New Roman" w:hAnsi="Times New Roman"/>
          <w:sz w:val="28"/>
          <w:szCs w:val="28"/>
        </w:rPr>
        <w:t>«</w:t>
      </w:r>
      <w:r w:rsidRPr="00E34953">
        <w:rPr>
          <w:rFonts w:ascii="Times New Roman" w:hAnsi="Times New Roman"/>
          <w:color w:val="000000"/>
          <w:sz w:val="28"/>
          <w:szCs w:val="28"/>
        </w:rPr>
        <w:t xml:space="preserve">Великовисочный </w:t>
      </w:r>
      <w:r w:rsidRPr="00E34953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ЗР </w:t>
      </w:r>
      <w:r w:rsidRPr="00E34953">
        <w:rPr>
          <w:rFonts w:ascii="Times New Roman" w:hAnsi="Times New Roman"/>
          <w:sz w:val="28"/>
          <w:szCs w:val="28"/>
        </w:rPr>
        <w:t xml:space="preserve">НАО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495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49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495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Н.П.Бараков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4F1A51" w:rsidRP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 xml:space="preserve"> «Великовисочный сельсовет» ЗР НАО</w:t>
      </w:r>
    </w:p>
    <w:p w:rsidR="004F1A51" w:rsidRP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00.00.0000 № 00-п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4"/>
      <w:bookmarkEnd w:id="0"/>
      <w:r w:rsidRPr="004F1A51">
        <w:rPr>
          <w:rFonts w:ascii="Times New Roman" w:hAnsi="Times New Roman" w:cs="Times New Roman"/>
          <w:sz w:val="24"/>
          <w:szCs w:val="28"/>
        </w:rPr>
        <w:t>ПОРЯДОК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ПРЕДОСТАВЛЕНИЯ СУБСИДИИ МУНИЦИПАЛЬНЫМ КАЗЕННЫМ ПРЕДПРИЯТИЯМ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>ДЛЯ ФИНАНСОВОГО ОБЕСПЕЧЕНИЯ ЗАТРАТ,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СВЯЗАННЫХ С ПРОИЗВОДСТВОМ (РЕАЛИЗАЦИЕЙ) СЕЛЬСКОХОЗЯЙСТВЕННОЙ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>ПРОДУКЦИИ, В ЦЕЛЯХ ВОССТАНОВЛЕНИЯ ИХ ПЛАТЕЖЕСПОСОБНОСТИ</w:t>
      </w:r>
    </w:p>
    <w:p w:rsidR="004F1A51" w:rsidRPr="004F1A51" w:rsidRDefault="004F1A51" w:rsidP="004F1A51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I.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4F1A51" w:rsidRPr="004F1A51" w:rsidRDefault="004F1A51" w:rsidP="004F1A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муниципальным казенным предприятиям (далее – МКП)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 (далее - Порядок) определяет: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цель предоставления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категории получателей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и условия заключения соглашения о предоставлении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и условия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требования к отчетности;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выполнением условий, целей и порядка предоставления субсидий их получателями и ответственность за их нарушение.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4F1A51">
        <w:rPr>
          <w:rFonts w:ascii="Times New Roman" w:hAnsi="Times New Roman" w:cs="Times New Roman"/>
          <w:sz w:val="28"/>
          <w:szCs w:val="28"/>
        </w:rPr>
        <w:t>2. Субсидия предоставляется в течение календарного года в целях предупреждения случаев привлечения Администрации Сельского поселения «Великовисочный сельсовет» ЗР НАО к субсидиарной ответственности по долгам МКП и восстановления их платежеспособности.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восстановление в течение календарного года платежеспособности МКП, путем 100% погашения кредиторской задолженности.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4. Субсидия используется МКП по следующим направлениям: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по налогам и иным обязательным платежам в бюджет и во внебюджетные фонды;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пеней, штрафов, исполнительских сборов, процентов, подлежащих уплате в соответствии с законодательством Российской Федерации в бюджеты бюджетной системы;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погашение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>погашение просроченной кредиторской задолженности по оплате требований о выплате выходных пособий и (или) об оплате труда лиц, работающих или работавших по трудовому договору;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по договорам поставки товаров, выполнения работ и (или) оказания услуг (далее - просроченная кредиторская задолженность).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Субсидия предоставляется Администрацией Сельского поселения «Великовисочный сельсовет» ЗР НАО на безвозмездной и безвозвратной основе в пределах средств, установленных решением Совета Сельского поселения «Великовисочный сельсовет» ЗР НАО</w:t>
      </w:r>
      <w:r w:rsidR="00542D16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о местном бюджете на текущий финансовый год и плановый период, сводной бюджетной росписью местного бюджета и кассовым планом, на цели, указанные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4F1A51">
        <w:rPr>
          <w:rFonts w:ascii="Times New Roman" w:hAnsi="Times New Roman" w:cs="Times New Roman"/>
          <w:sz w:val="28"/>
          <w:szCs w:val="28"/>
        </w:rPr>
        <w:t>6. Категории получателей субсидий: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Получателями субсидии являются муниципальные казенные предприятия, осуществляющие производство сельскохозяйственной продукции на территории Сельского поселения «Великовисочный сельсовет» ЗР НАО, учредителем которых является Администрация Сельского поселения «Великовисочный сельсовет</w:t>
      </w:r>
      <w:r w:rsidR="00542D16">
        <w:rPr>
          <w:rFonts w:ascii="Times New Roman" w:hAnsi="Times New Roman" w:cs="Times New Roman"/>
          <w:sz w:val="28"/>
          <w:szCs w:val="28"/>
        </w:rPr>
        <w:t>»</w:t>
      </w:r>
      <w:r w:rsidRPr="004F1A51">
        <w:rPr>
          <w:rFonts w:ascii="Times New Roman" w:hAnsi="Times New Roman" w:cs="Times New Roman"/>
          <w:sz w:val="28"/>
          <w:szCs w:val="28"/>
        </w:rPr>
        <w:t xml:space="preserve"> ЗР НАО (далее - Получатель субсидии)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у Получателя субсидии на праве оперативного управления имущества, собственником которого является Сельское поселение;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2) неспособности муниципального казенного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быть исполнены.</w:t>
      </w:r>
      <w:proofErr w:type="gramEnd"/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542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II.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Порядок определения размера субсидий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Расчет размера субсидии определяется исходя из объема средств, необходимых для погашения денежных обязательств кредиторов, требований о выплате выходных пособий и (или) об оплате труда лиц, работающих или работавших по трудовому договору, исполнении обязанности по уплате обязательных платежей и восстановлению платежеспособности предприятия, и не может превышать сумму, необходимую для погашения задолженности по налогам, сборам и иным обязательным платежам, а также просроченной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если соответствующие обязательства и (или) обязанность не исполнены им в течение трех месяцев с даты, когда они должны были быть исполнены, на дату принятия решения о предоставлении субсидии.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542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III.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>Условия и порядок заключения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Соглашения и предоставления субсидий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8. Условиями предоставления субсидии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1) неспособность Получателя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оплачивать услуги по договорам поставки товаров и (или) оказания услуг, если соответствующие обязательства и (или) обязанность не исполнены им в течение трех месяцев с даты, когда они должны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2) наличие в местном бюджете на текущий год ассигнований на цели, определенные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3) заключение соглашения о предоставлении субсидии между Администрацией Сельского поселения «Великовисочный сельсовет» ЗР НАО и Получателем субсидии (далее - Соглашение) на текущий финансовый год.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9. Субсидии предоставляются в соответствии с Соглашением, заключаемым Администрацией Сельского поселения «Великовисочный сельсовет» ЗР НАО</w:t>
      </w:r>
      <w:r w:rsidR="00542D16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с Получателем субсидии, при условии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соответствия Получателя субсидии категории получателей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субсидий, установленным </w:t>
      </w:r>
      <w:hyperlink w:anchor="P64">
        <w:r w:rsidRPr="004F1A5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6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10. Соглашением предусматривается: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размер предоставляемой субсидии, порядок, условия, сроки ее перечисления;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значение показателя, необходимого для достижения результатов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Администрацией Сельского поселения «Великовисочный сельсовет» ЗР НАО проверок соблюдения условий, целей и порядка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 - юридическим лицом,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условие о согласовании новых условий соглашения (договора) на предоставление субсидии или о расторжении такого соглашения при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при уменьшении Администрации Заполярного района как получателю бюджетных средств ранее доведенных лимитов бюджетных обязательств на предоставление субсидии.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между Администрацией Сельского поселения «Великовисочный сельсовет» ЗР НАО и Получателем субсидии заключается в соответствии с типовой формой, утвержденной Администрацией Сельского поселения «Великовисочный сельсовет» ЗР НАО</w:t>
      </w:r>
      <w:r w:rsidR="009B627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 срок, не превышающий срок действия утвержденных и доведенных Администрации Сельского поселения «Великовисочный сельсовет» ЗР НАО</w:t>
      </w:r>
      <w:r w:rsidR="009B627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субсидии на текущий финансовый год.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4F1A51">
        <w:rPr>
          <w:rFonts w:ascii="Times New Roman" w:hAnsi="Times New Roman" w:cs="Times New Roman"/>
          <w:sz w:val="28"/>
          <w:szCs w:val="28"/>
        </w:rPr>
        <w:t>12.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1) не являться иностранными юридическими лицами,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4F1A51">
        <w:rPr>
          <w:rFonts w:ascii="Times New Roman" w:hAnsi="Times New Roman" w:cs="Times New Roman"/>
          <w:sz w:val="28"/>
          <w:szCs w:val="28"/>
        </w:rPr>
        <w:t xml:space="preserve">2) не получать средства местного бюджета на цели, указанные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иных правовых актов Администрации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Сельского поселения «Великовисочный сельсовет» ЗР НАО.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4F1A51">
        <w:rPr>
          <w:rFonts w:ascii="Times New Roman" w:hAnsi="Times New Roman" w:cs="Times New Roman"/>
          <w:sz w:val="28"/>
          <w:szCs w:val="28"/>
        </w:rPr>
        <w:t>13. Для заключения соглашения Получатель субсидии в срок не позднее 15 ноября текущего года направляет в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«Великовисочный сельсовет» ЗР НАО </w:t>
      </w:r>
      <w:hyperlink w:anchor="P170">
        <w:r w:rsidRPr="004F1A5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по форме согласно Приложению 1 к настоящему Порядку с приложением документов, подтверждающих соответствие Предприятия требованиям, установленным в </w:t>
      </w:r>
      <w:hyperlink w:anchor="P93">
        <w:r w:rsidRPr="004F1A5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предпринимателей). В случае непредставления такой выписки Главный распорядитель запрашивает ее самостоятельно;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гарантийное письмо за подписью руководителя и главного бухгалтера Получателя субсидии, подтверждающее соответствие Получателя субсидии требованию, установленному </w:t>
      </w:r>
      <w:hyperlink w:anchor="P95">
        <w:r w:rsidRPr="004F1A5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4F1A51">
        <w:rPr>
          <w:rFonts w:ascii="Times New Roman" w:hAnsi="Times New Roman" w:cs="Times New Roman"/>
          <w:sz w:val="28"/>
          <w:szCs w:val="28"/>
        </w:rPr>
        <w:t xml:space="preserve">14. Указанные в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заверены подписью руководителя и печатью Получателя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4F1A51">
        <w:rPr>
          <w:rFonts w:ascii="Times New Roman" w:hAnsi="Times New Roman" w:cs="Times New Roman"/>
          <w:sz w:val="28"/>
          <w:szCs w:val="28"/>
        </w:rPr>
        <w:t>15. Администрация Сельского поселения «Великовисочный сельсовет» ЗР НАО в течение 5 (пяти) рабочих дней рассматривает документы, представленные Получателем субсидии, на соответствие действующему законодательству и настоящему Порядку, и по результатам рассмотрения принимает решение о заключении соглашения либо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4F1A51">
        <w:rPr>
          <w:rFonts w:ascii="Times New Roman" w:hAnsi="Times New Roman" w:cs="Times New Roman"/>
          <w:sz w:val="28"/>
          <w:szCs w:val="28"/>
        </w:rPr>
        <w:lastRenderedPageBreak/>
        <w:t>16. Основанием для отказа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пропуск Получателем субсидии срока обращения с заявлением о его заключении;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представление не в полном объеме в заявлении обязательных для указания данных;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3) предоставление не в полном объеме документов, указанных в  пункте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либо наличие в указанных документах недостоверных сведений;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4) предоставленные документы не соответствуют требованиям пункта 14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принятия решения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 Главный распорядитель в течение 3 (трех) рабочих дней после принятия данного решения направляет Получателю субсидии уведомление об отказе в заключении соглашения с указанием причин отказа.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получения письма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Соглашения, Получатель субсидии вправе повторно предоставить документы в соответствии с требованиями пунктов 13 и </w:t>
      </w:r>
      <w:hyperlink w:anchor="P99">
        <w:r w:rsidRPr="004F1A5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настоящего Порядка при условии, что будут устранены замечания, явившиеся основанием для отказа.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17. При отсутствии оснований для отказа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Соглашения, указанных в </w:t>
      </w:r>
      <w:hyperlink w:anchor="P101">
        <w:r w:rsidRPr="004F1A5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16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настоящего Порядка, проект Соглашения, в двух экземплярах подготавливается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и направляется в адрес Получателя субсидии в течение 5 (пяти) рабочих дней по истечении срока, установленного </w:t>
      </w:r>
      <w:hyperlink w:anchor="P100">
        <w:r w:rsidRPr="004F1A51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18. Внесение изменений в соглашение осуществляется путем заключения дополнительного соглашения.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Изменения в соглашения могут быть внесены в следующих случаях: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изменение положений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изменений направления и размера предоставляемой субсидии в рамках мероприятий.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4F1A51">
        <w:rPr>
          <w:rFonts w:ascii="Times New Roman" w:hAnsi="Times New Roman" w:cs="Times New Roman"/>
          <w:sz w:val="28"/>
          <w:szCs w:val="28"/>
        </w:rPr>
        <w:t>19. После заключения Соглашения Получатель субсидии не позднее 15 декабря текущего финансового года предоставляет в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Администрацию Сельского поселения «Великовисочный сельсовет» ЗР НАО: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34">
        <w:r w:rsidRPr="004F1A5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согласно Приложению 2 к настоящему Порядку;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реестр кредиторской задолженности на последнюю отчетную дату в разрезе кредиторов, с указанием просроченной задолженности более трех месяцев;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3) документы, подтверждающие обязательства по уплате просроченной кредиторской задолженности: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копии требований (претензий) об уплате задолженности (в отношении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организациям, просроченной кредиторской задолженности по оплате требований о выплате выходных пособий и (или) об оплате труда лиц, работающих или работавших по трудовому договору, просроченной </w:t>
      </w:r>
      <w:r w:rsidRPr="004F1A51"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по договорам поставки товаров, выполнения работ и (или) оказания услуг);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копии судебных решений о выплате просроченной кредиторской задолженности, вынесенных в отношении Получателя субсидии и вступивших в законную силу (при наличии таковых);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акты сверок взаимных расчетов с организациями и индивидуальными предпринимателями по состоянию не более 15 дней до даты подачи заявления (в отношении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организациям, просроченной кредиторской задолженности по договорам поставки товаров, выполнения работ и (или) оказания услуг);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требования (акты) уполномоченных органов об оплате задолженности (в отношении просроченной кредиторской задолженности, пеней, штрафов, исполнительских сборов, процентов, подлежащих уплате в соответствии с законодательством Российской Федерации в бюджеты бюджетной системы).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20. Указанные в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заверены подписью руководителя и печатью Получателя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4F1A51">
        <w:rPr>
          <w:rFonts w:ascii="Times New Roman" w:hAnsi="Times New Roman" w:cs="Times New Roman"/>
          <w:sz w:val="28"/>
          <w:szCs w:val="28"/>
        </w:rPr>
        <w:t>21. Администрация Сельского поселения «Великовисочный сельсовет» ЗР НАО в течение 10 дней рассматривает документы, представленные Получателем субсидии, на соответствие действующему законодательству и настоящему Порядку.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22. Основанием для отказа в предоставлении субсидии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недостоверность представленной информации;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4F1A51">
        <w:rPr>
          <w:rFonts w:ascii="Times New Roman" w:hAnsi="Times New Roman" w:cs="Times New Roman"/>
          <w:sz w:val="28"/>
          <w:szCs w:val="28"/>
        </w:rPr>
        <w:t>3) недостаточность лимитов бюджетных обязательств на предоставление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128">
        <w:r w:rsidRPr="004F1A51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пункта, перечисление субсидии Получателю субсидии производится на основании дополнительного соглашения к соглашению (договору) на предоставление субсидии, заключаемого с получателем субсидии в срок до 1 февраля очередного финансового года, при условии, если в местном бюджете на соответствующий финансовый год предусмотрены бюджетные ассигнования на исполнение соответствующих расходных обязательств.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Подготовка распоряжения о предоставлении субсидии осуществляется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в течение 5 (рабочих) дней со дня подписания дополнительного соглашения к соглашению (договору) на предоставление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23. В случае принятия решения об отказе в предоставлении субсидии Главный распорядитель в течение 3 рабочих дней после принятия данного решения (по истечении срока, установленного пунктом 21 настоящего Порядка) направляет Получателю субсидии уведомление об отказе в предоставлении субсидии с указанием причин отказа.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 xml:space="preserve">24. В случае если Получатель субсидии по итогам проверки документов представил все документы, указанные в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и приведенные в них сведения достоверны, решение о предоставлении субсидии оформляется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по истечении срока, установленного </w:t>
      </w:r>
      <w:hyperlink w:anchor="P124">
        <w:r w:rsidRPr="004F1A5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25. Главный распорядитель в течение 5 (пяти) рабочих дней со дня издания распоряжения о предоставлении субсидии перечисляет ее на расчетный счет, открытый получателю субсидии в кредитной организации, и указанный в заявлении о предоставлении субсидии.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IV.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26. Получатель субсидии предоставляет Администрация Сельского поселения «Великовисочный сельсовет» ЗР НАО не позднее 20 рабочих дней с момента получения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96">
        <w:r w:rsidRPr="004F1A5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о целевом использовании средств субсидии по форме согласно Приложению 3 к настоящему Порядку;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заверенные подписью и печатью Получателя субсидии копии платежных документов, подтверждающих перечисление Получателем субсидии средств субсидий в погашение просроченной кредиторской задолженности.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27. Администрация Сельского поселения «Великовисочный сельсовет» ЗР НАО устанавливает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V.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ответственность за их нарушение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28. В случае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установленного значения показателя результативности на конец текущего года (неисполнение мероприяти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F1A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>)), Администрация Сельского поселения «Великовисочный сельсовет» ЗР НАО направляет Предприятию в срок до 15 января очередного года требование о возврате средств полученной субсидии в срок до 1 февраля очередного года.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29. В случае выявления фактов нецелевого использования субсидии и (или) нарушения Предприятием условий и порядка ее предоставления, в том числе в случае указания в предоставленных Предприятием документах недостоверной информации, Предприятие обязано произвести возврат средств полученной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В случае если вышеуказанные факты выявлены по результатам проверки, проведенной органами финансового контроля, то возврат средств полученной субсидии осуществляется на основании документов, выданных </w:t>
      </w:r>
      <w:r w:rsidRPr="004F1A51">
        <w:rPr>
          <w:rFonts w:ascii="Times New Roman" w:hAnsi="Times New Roman" w:cs="Times New Roman"/>
          <w:sz w:val="28"/>
          <w:szCs w:val="28"/>
        </w:rPr>
        <w:lastRenderedPageBreak/>
        <w:t>этими органами (актов, заключений, представлений (предписаний)), по реквизитам Администрация Сельского поселения «Великовисочный сельсовет» ЗР НАО, предоставленным по запросу Предприятия.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выявления вышеуказанных фактов по результатам проверки, проведенной Администрация Сельского поселения «Великовисочный сельсовет» ЗР НАО, возврат средств полученной субсидии осуществляется на основании требования, направленного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Администраци</w:t>
      </w:r>
      <w:r w:rsidR="001F3BC9">
        <w:rPr>
          <w:rFonts w:ascii="Times New Roman" w:hAnsi="Times New Roman" w:cs="Times New Roman"/>
          <w:sz w:val="28"/>
          <w:szCs w:val="28"/>
        </w:rPr>
        <w:t>ей</w:t>
      </w:r>
      <w:r w:rsidRPr="004F1A51">
        <w:rPr>
          <w:rFonts w:ascii="Times New Roman" w:hAnsi="Times New Roman" w:cs="Times New Roman"/>
          <w:sz w:val="28"/>
          <w:szCs w:val="28"/>
        </w:rPr>
        <w:t xml:space="preserve">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30. В случае отказа Получателя субсидии возвращать субсидию в местный бюджет в установленные сроки по факту нарушения Администрация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принимает меры по взысканию подлежащих возврату бюджетных сре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удебном порядке.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31. Получатели субсидий несут ответственность за нецелевое использование бюджетных сре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32. Контроль целевого использования бюджетных средств и выполнения условий Соглашения осуществляется Главным распорядителем и органом муниципального финансового контроля.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33. Главный распорядитель и/или орган муниципального финансового контроля осуществляет проверки Получателя субсидии на предмет целевого использования субсидий, а также соблюдения Получателем субсидии условий, целей и порядка их предоставления в порядке, установленном законодательством.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34. Получатель субсидии обязан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предоставлять запрашиваемые документы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и сведения при осуществлении контроля и проведении проверок в установленные запросом сроки.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EA9" w:rsidRPr="004F1A51" w:rsidRDefault="00DE6EA9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1F3BC9" w:rsidRDefault="004F1A51" w:rsidP="001F3B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1F3BC9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1F3BC9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затрат, связанных с производством (реализацией)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4F1A51" w:rsidRDefault="004F1A51" w:rsidP="001F3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70"/>
      <w:bookmarkEnd w:id="12"/>
      <w:r w:rsidRPr="004F1A51">
        <w:rPr>
          <w:rFonts w:ascii="Times New Roman" w:hAnsi="Times New Roman" w:cs="Times New Roman"/>
          <w:sz w:val="28"/>
          <w:szCs w:val="28"/>
        </w:rPr>
        <w:t>ЗАЯВЛЕНИЕ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субсидии для финансового обеспечения затрат,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 производством (реализацией) сельскохозяйственной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продукции, в целях восстановления платежеспособности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F1A51" w:rsidRPr="001F3BC9" w:rsidRDefault="004F1A51" w:rsidP="001F3BC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(Получатель субсидии)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В соответствии  с  постановлением  Администрации Сельского поселения «Великовисочный сельсовет» ЗР НАО   от  ____________  №  _____  «Об  утверждении Порядка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предоставления  субсидии  муниципальным  казенным  предприятиям для  финансового  обеспечения  затрат,  связанных  с  производством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(реализацией)  сельскохозяйственной  продукции,  в  целях восстановления их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Платежеспособности»  просим  заключить Соглашение о предоставлении субсидии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для финансового обеспечения затрат, связанных с производством (реализацией)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сельскохозяйственной продукции, в целях восстановления платежеспособности.</w:t>
      </w:r>
      <w:proofErr w:type="gramEnd"/>
    </w:p>
    <w:p w:rsidR="004F1A51" w:rsidRPr="004F1A51" w:rsidRDefault="004F1A51" w:rsidP="001F3B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Реквизиты получателя субсидии для заключения соглашения: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4"/>
        <w:gridCol w:w="4422"/>
      </w:tblGrid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8986" w:type="dxa"/>
            <w:gridSpan w:val="2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в соответствии с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п. 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Руководитель ________________    ___________________________________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1F3BC9" w:rsidRPr="001F3BC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F3BC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1F3BC9" w:rsidRPr="001F3BC9">
        <w:rPr>
          <w:rFonts w:ascii="Times New Roman" w:hAnsi="Times New Roman" w:cs="Times New Roman"/>
          <w:sz w:val="24"/>
          <w:szCs w:val="28"/>
        </w:rPr>
        <w:t xml:space="preserve">    </w:t>
      </w:r>
      <w:r w:rsidRPr="001F3BC9">
        <w:rPr>
          <w:rFonts w:ascii="Times New Roman" w:hAnsi="Times New Roman" w:cs="Times New Roman"/>
          <w:sz w:val="24"/>
          <w:szCs w:val="28"/>
        </w:rPr>
        <w:t xml:space="preserve"> (подпись)               (расшифровка подписи)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Гла</w:t>
      </w:r>
      <w:r w:rsidR="001F3BC9">
        <w:rPr>
          <w:rFonts w:ascii="Times New Roman" w:hAnsi="Times New Roman" w:cs="Times New Roman"/>
          <w:sz w:val="28"/>
          <w:szCs w:val="28"/>
        </w:rPr>
        <w:t>вный бухгалтер ________________</w:t>
      </w:r>
      <w:r w:rsidRPr="004F1A51">
        <w:rPr>
          <w:rFonts w:ascii="Times New Roman" w:hAnsi="Times New Roman" w:cs="Times New Roman"/>
          <w:sz w:val="28"/>
          <w:szCs w:val="28"/>
        </w:rPr>
        <w:t xml:space="preserve">      ______________________________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3B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1A51">
        <w:rPr>
          <w:rFonts w:ascii="Times New Roman" w:hAnsi="Times New Roman" w:cs="Times New Roman"/>
          <w:sz w:val="28"/>
          <w:szCs w:val="28"/>
        </w:rPr>
        <w:t xml:space="preserve">  </w:t>
      </w:r>
      <w:r w:rsidRPr="001F3BC9">
        <w:rPr>
          <w:rFonts w:ascii="Times New Roman" w:hAnsi="Times New Roman" w:cs="Times New Roman"/>
          <w:sz w:val="24"/>
          <w:szCs w:val="28"/>
        </w:rPr>
        <w:t>(подпись)                (расшифровка подписи)</w:t>
      </w:r>
    </w:p>
    <w:p w:rsid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F3BC9" w:rsidRDefault="001F3BC9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F3BC9" w:rsidRPr="001F3BC9" w:rsidRDefault="001F3BC9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МП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Pr="004F1A51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1F3BC9" w:rsidRDefault="004F1A51" w:rsidP="001F3B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1F3BC9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1F3BC9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затрат, связанных с производством (реализацией)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34"/>
      <w:bookmarkEnd w:id="13"/>
      <w:r w:rsidRPr="004F1A51">
        <w:rPr>
          <w:rFonts w:ascii="Times New Roman" w:hAnsi="Times New Roman" w:cs="Times New Roman"/>
          <w:sz w:val="28"/>
          <w:szCs w:val="28"/>
        </w:rPr>
        <w:t>Заявка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за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Наименование Предприятия ______________</w:t>
      </w:r>
      <w:r w:rsidR="00DD6E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Прошу предоставить субсидию (наименование мероприятия, затрат)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размере: __________________________</w:t>
      </w:r>
      <w:r w:rsidR="00DD6E74">
        <w:rPr>
          <w:rFonts w:ascii="Times New Roman" w:hAnsi="Times New Roman" w:cs="Times New Roman"/>
          <w:sz w:val="28"/>
          <w:szCs w:val="28"/>
        </w:rPr>
        <w:t>__________________________</w:t>
      </w:r>
      <w:r w:rsidRPr="004F1A51">
        <w:rPr>
          <w:rFonts w:ascii="Times New Roman" w:hAnsi="Times New Roman" w:cs="Times New Roman"/>
          <w:sz w:val="28"/>
          <w:szCs w:val="28"/>
        </w:rPr>
        <w:t>_ руб.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4"/>
        <w:gridCol w:w="2835"/>
        <w:gridCol w:w="2381"/>
        <w:gridCol w:w="1701"/>
      </w:tblGrid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№ и дата документа (счет-фактура, решение суда, исполнительное производство и т.д.)</w:t>
            </w: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Сумма просроченной кредиторской задолженности, рублей</w:t>
            </w: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</w:t>
            </w: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Гарантирую целевое использование средств.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перечень прилагаемых документов в соответствии с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п.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Руководитель ________________ 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(подпись)                    (Ф.И.О.)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Главный бухгалтер __________________    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       (подпись)                (Ф.И.О.)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 20__ г.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DD6E74" w:rsidRDefault="004F1A51" w:rsidP="00DD6E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DD6E74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DD6E74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 затрат,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DD6E74">
        <w:rPr>
          <w:rFonts w:ascii="Times New Roman" w:hAnsi="Times New Roman" w:cs="Times New Roman"/>
          <w:sz w:val="24"/>
          <w:szCs w:val="28"/>
        </w:rPr>
        <w:t>связанных</w:t>
      </w:r>
      <w:proofErr w:type="gramEnd"/>
      <w:r w:rsidRPr="00DD6E74">
        <w:rPr>
          <w:rFonts w:ascii="Times New Roman" w:hAnsi="Times New Roman" w:cs="Times New Roman"/>
          <w:sz w:val="24"/>
          <w:szCs w:val="28"/>
        </w:rPr>
        <w:t xml:space="preserve"> с производством (реализацией)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96"/>
      <w:bookmarkEnd w:id="14"/>
      <w:r w:rsidRPr="004F1A51">
        <w:rPr>
          <w:rFonts w:ascii="Times New Roman" w:hAnsi="Times New Roman" w:cs="Times New Roman"/>
          <w:sz w:val="28"/>
          <w:szCs w:val="28"/>
        </w:rPr>
        <w:t>ОТЧЕТ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целевом использовании средств субсидии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для финансового обеспечения затрат,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 производством (реализацией) сельскохозяйственной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продукции, в целях восстановления платежеспособности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F1A51" w:rsidRPr="00DD6E74" w:rsidRDefault="004F1A51" w:rsidP="00DD6E7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(Получатель субсидии)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 соответствии  с  распоряжением  Администрации  Сельского поселения «Великовисочный сельсовет» ЗР НАО от  "___"  ___________ 20__ г. N____ на расчетный счет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Получателя   субсидии  ____________________________  поступила  субсидия  в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размере _____________________ рублей.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За счет средств субсидии произведены следующие платежи: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2438"/>
        <w:gridCol w:w="1985"/>
        <w:gridCol w:w="1361"/>
        <w:gridCol w:w="1531"/>
      </w:tblGrid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Наименование кредитора</w:t>
            </w: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№ и дата документа (счет-фактура, решение суда, исполнительное производство и т.д.)</w:t>
            </w: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Сумма просроченной кредиторской задолженности, рублей</w:t>
            </w: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№ и дата платежного поручения</w:t>
            </w: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Перечисленная сумма, рублей</w:t>
            </w: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1A51" w:rsidRPr="00DD6E74" w:rsidRDefault="004F1A51" w:rsidP="004F1A5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Остаток средств субсидии составляет ___________________ рублей.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Копии платежных поручений прилагаем в количестве ___________ листов.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Руководитель ___________________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</w:t>
      </w:r>
      <w:r w:rsidRPr="00DD6E74">
        <w:rPr>
          <w:rFonts w:ascii="Times New Roman" w:hAnsi="Times New Roman" w:cs="Times New Roman"/>
          <w:sz w:val="22"/>
          <w:szCs w:val="28"/>
        </w:rPr>
        <w:t>(подпись)                (расшифровка подписи)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Исполнитель ___________________ 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 </w:t>
      </w:r>
      <w:r w:rsidRPr="00DD6E74">
        <w:rPr>
          <w:rFonts w:ascii="Times New Roman" w:hAnsi="Times New Roman" w:cs="Times New Roman"/>
          <w:sz w:val="22"/>
          <w:szCs w:val="28"/>
        </w:rPr>
        <w:t>(подпись)                (расшифровка подписи)</w:t>
      </w:r>
    </w:p>
    <w:p w:rsidR="004F1A51" w:rsidRPr="00DD6E74" w:rsidRDefault="004F1A51" w:rsidP="00DD6E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МП</w:t>
      </w:r>
    </w:p>
    <w:sectPr w:rsidR="004F1A51" w:rsidRPr="00DD6E74" w:rsidSect="00D1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67"/>
    <w:rsid w:val="000D5A67"/>
    <w:rsid w:val="001F3BC9"/>
    <w:rsid w:val="00255F13"/>
    <w:rsid w:val="00355B48"/>
    <w:rsid w:val="004F1A51"/>
    <w:rsid w:val="00542D16"/>
    <w:rsid w:val="006548D9"/>
    <w:rsid w:val="007D1AE0"/>
    <w:rsid w:val="00822C17"/>
    <w:rsid w:val="009B6279"/>
    <w:rsid w:val="00BA2ECF"/>
    <w:rsid w:val="00CC3FB0"/>
    <w:rsid w:val="00DD6E74"/>
    <w:rsid w:val="00DE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5A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5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A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313B24490371E42968F8824EE1707F025DFBDDF86C2AE5901B5A5F1242D5013FD8F7BD45CA8BF6B5C7F1A197C8CE8BWC3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13B24490371E42968E68F588D2773025EACD8FA6329BBCA440102454BDF566A97F6E1009B98F7B3C7F3A38BWC39M" TargetMode="External"/><Relationship Id="rId5" Type="http://schemas.openxmlformats.org/officeDocument/2006/relationships/hyperlink" Target="consultantplus://offline/ref=F3313B24490371E42968E68F588D27730556A7D2F46629BBCA440102454BDF567897AEED019C85FEB4D2A5F2CD9FC388C6A73CEC9028F4DFW033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 Сергей Николаевич</dc:creator>
  <cp:lastModifiedBy>User</cp:lastModifiedBy>
  <cp:revision>3</cp:revision>
  <dcterms:created xsi:type="dcterms:W3CDTF">2023-03-22T07:47:00Z</dcterms:created>
  <dcterms:modified xsi:type="dcterms:W3CDTF">2023-03-22T07:50:00Z</dcterms:modified>
</cp:coreProperties>
</file>